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54A6" w14:textId="77777777" w:rsidR="00420739" w:rsidRPr="003F5E4F" w:rsidRDefault="00A53987" w:rsidP="00A53987">
      <w:pPr>
        <w:spacing w:after="0"/>
        <w:jc w:val="center"/>
        <w:rPr>
          <w:b/>
          <w:color w:val="365F91" w:themeColor="accent1" w:themeShade="BF"/>
          <w:sz w:val="32"/>
          <w:lang w:val="en-CA"/>
        </w:rPr>
      </w:pPr>
      <w:r w:rsidRPr="003F5E4F">
        <w:rPr>
          <w:b/>
          <w:color w:val="365F91" w:themeColor="accent1" w:themeShade="BF"/>
          <w:sz w:val="32"/>
          <w:lang w:val="en-CA"/>
        </w:rPr>
        <w:t>JOB POSTING</w:t>
      </w:r>
    </w:p>
    <w:p w14:paraId="2346535A" w14:textId="77777777" w:rsidR="00A53987" w:rsidRDefault="00A53987" w:rsidP="00A53987">
      <w:pPr>
        <w:spacing w:after="0"/>
        <w:jc w:val="center"/>
        <w:rPr>
          <w:color w:val="365F91" w:themeColor="accent1" w:themeShade="BF"/>
          <w:lang w:val="en-CA"/>
        </w:rPr>
      </w:pPr>
    </w:p>
    <w:p w14:paraId="07C0DC22" w14:textId="77777777" w:rsidR="0040274D" w:rsidRPr="0040274D" w:rsidRDefault="0040274D" w:rsidP="0040274D">
      <w:pPr>
        <w:pStyle w:val="NormalWeb"/>
        <w:shd w:val="clear" w:color="auto" w:fill="FFFFFF"/>
        <w:spacing w:line="360" w:lineRule="auto"/>
        <w:jc w:val="both"/>
        <w:rPr>
          <w:rFonts w:ascii="Calibri" w:eastAsia="Calibri" w:hAnsi="Calibri"/>
          <w:color w:val="365F91" w:themeColor="accent1" w:themeShade="BF"/>
          <w:sz w:val="22"/>
          <w:szCs w:val="22"/>
          <w:lang w:eastAsia="en-US"/>
        </w:rPr>
      </w:pPr>
      <w:r w:rsidRPr="0040274D">
        <w:rPr>
          <w:rFonts w:ascii="Calibri" w:eastAsia="Calibri" w:hAnsi="Calibri"/>
          <w:b/>
          <w:bCs/>
          <w:color w:val="365F91" w:themeColor="accent1" w:themeShade="BF"/>
          <w:sz w:val="22"/>
          <w:szCs w:val="22"/>
          <w:lang w:eastAsia="en-US"/>
        </w:rPr>
        <w:t>Aspen Holdings</w:t>
      </w:r>
      <w:r w:rsidRPr="0040274D">
        <w:rPr>
          <w:rFonts w:ascii="Calibri" w:eastAsia="Calibri" w:hAnsi="Calibri"/>
          <w:color w:val="365F91" w:themeColor="accent1" w:themeShade="BF"/>
          <w:sz w:val="22"/>
          <w:szCs w:val="22"/>
          <w:lang w:eastAsia="en-US"/>
        </w:rPr>
        <w:t xml:space="preserve"> - one of the largest pharmaceutical companies in the southern hemisphere. With a 160-year heritage, Aspen is a global specialty and branded multinational pharmaceutical company with a presence in both emerging and developed markets.  Have approximately 9 800 employees at 71 established offices in over 50 countries and we improve the health of patients in more than 150 countries through our high quality, affordable products. Please visit www.aspenpharma.com for more information. </w:t>
      </w:r>
    </w:p>
    <w:p w14:paraId="2BFFD8C1" w14:textId="77777777" w:rsidR="0040274D" w:rsidRDefault="0040274D" w:rsidP="0040274D">
      <w:pPr>
        <w:pStyle w:val="NormalWeb"/>
        <w:shd w:val="clear" w:color="auto" w:fill="FFFFFF"/>
        <w:spacing w:line="360" w:lineRule="auto"/>
        <w:jc w:val="both"/>
        <w:rPr>
          <w:rFonts w:ascii="Calibri" w:eastAsia="Calibri" w:hAnsi="Calibri"/>
          <w:color w:val="365F91" w:themeColor="accent1" w:themeShade="BF"/>
          <w:sz w:val="22"/>
          <w:szCs w:val="22"/>
          <w:lang w:eastAsia="en-US"/>
        </w:rPr>
      </w:pPr>
      <w:r w:rsidRPr="0040274D">
        <w:rPr>
          <w:rFonts w:ascii="Calibri" w:eastAsia="Calibri" w:hAnsi="Calibri"/>
          <w:b/>
          <w:bCs/>
          <w:color w:val="365F91" w:themeColor="accent1" w:themeShade="BF"/>
          <w:sz w:val="22"/>
          <w:szCs w:val="22"/>
          <w:lang w:eastAsia="en-US"/>
        </w:rPr>
        <w:t>Aspen Canada</w:t>
      </w:r>
      <w:r w:rsidRPr="0040274D">
        <w:rPr>
          <w:rFonts w:ascii="Calibri" w:eastAsia="Calibri" w:hAnsi="Calibri"/>
          <w:color w:val="365F91" w:themeColor="accent1" w:themeShade="BF"/>
          <w:sz w:val="22"/>
          <w:szCs w:val="22"/>
          <w:lang w:eastAsia="en-US"/>
        </w:rPr>
        <w:t xml:space="preserve"> - a branch of Aspen Holdings, was founded in 2014 to offer the Aspen Group’s expanding portfolio of pharmaceutical and consumer healthcare products to Canadians. Please visit www.aspenpharma.ca for more information.</w:t>
      </w:r>
    </w:p>
    <w:p w14:paraId="624EB7FB" w14:textId="5856CAAE" w:rsidR="00E84C1F" w:rsidRDefault="00E84C1F" w:rsidP="0040274D">
      <w:pPr>
        <w:pStyle w:val="NormalWeb"/>
        <w:shd w:val="clear" w:color="auto" w:fill="FFFFFF"/>
        <w:spacing w:line="360" w:lineRule="auto"/>
        <w:rPr>
          <w:rFonts w:ascii="Calibri" w:eastAsia="Calibri" w:hAnsi="Calibri"/>
          <w:color w:val="365F91" w:themeColor="accent1" w:themeShade="BF"/>
          <w:sz w:val="22"/>
          <w:szCs w:val="22"/>
          <w:lang w:eastAsia="en-US"/>
        </w:rPr>
      </w:pPr>
      <w:r>
        <w:rPr>
          <w:rFonts w:ascii="Calibri" w:eastAsia="Calibri" w:hAnsi="Calibri"/>
          <w:color w:val="365F91" w:themeColor="accent1" w:themeShade="BF"/>
          <w:sz w:val="22"/>
          <w:szCs w:val="22"/>
          <w:lang w:eastAsia="en-US"/>
        </w:rPr>
        <w:t xml:space="preserve">Aspen Canada currently </w:t>
      </w:r>
      <w:r w:rsidR="0068566F">
        <w:rPr>
          <w:rFonts w:ascii="Calibri" w:eastAsia="Calibri" w:hAnsi="Calibri"/>
          <w:color w:val="365F91" w:themeColor="accent1" w:themeShade="BF"/>
          <w:sz w:val="22"/>
          <w:szCs w:val="22"/>
          <w:lang w:eastAsia="en-US"/>
        </w:rPr>
        <w:t>has an opening</w:t>
      </w:r>
      <w:r>
        <w:rPr>
          <w:rFonts w:ascii="Calibri" w:eastAsia="Calibri" w:hAnsi="Calibri"/>
          <w:color w:val="365F91" w:themeColor="accent1" w:themeShade="BF"/>
          <w:sz w:val="22"/>
          <w:szCs w:val="22"/>
          <w:lang w:eastAsia="en-US"/>
        </w:rPr>
        <w:t xml:space="preserve"> for the following </w:t>
      </w:r>
      <w:r w:rsidR="0068566F">
        <w:rPr>
          <w:rFonts w:ascii="Calibri" w:eastAsia="Calibri" w:hAnsi="Calibri"/>
          <w:color w:val="365F91" w:themeColor="accent1" w:themeShade="BF"/>
          <w:sz w:val="22"/>
          <w:szCs w:val="22"/>
          <w:lang w:eastAsia="en-US"/>
        </w:rPr>
        <w:t>position</w:t>
      </w:r>
      <w:r>
        <w:rPr>
          <w:rFonts w:ascii="Calibri" w:eastAsia="Calibri" w:hAnsi="Calibri"/>
          <w:color w:val="365F91" w:themeColor="accent1" w:themeShade="BF"/>
          <w:sz w:val="22"/>
          <w:szCs w:val="22"/>
          <w:lang w:eastAsia="en-US"/>
        </w:rPr>
        <w:t>:</w:t>
      </w:r>
    </w:p>
    <w:tbl>
      <w:tblPr>
        <w:tblStyle w:val="TableGrid"/>
        <w:tblW w:w="9923" w:type="dxa"/>
        <w:tblInd w:w="-5" w:type="dxa"/>
        <w:tblLook w:val="04A0" w:firstRow="1" w:lastRow="0" w:firstColumn="1" w:lastColumn="0" w:noHBand="0" w:noVBand="1"/>
      </w:tblPr>
      <w:tblGrid>
        <w:gridCol w:w="2063"/>
        <w:gridCol w:w="7860"/>
      </w:tblGrid>
      <w:tr w:rsidR="00E84C1F" w14:paraId="46389FC8" w14:textId="77777777" w:rsidTr="00DF5166">
        <w:tc>
          <w:tcPr>
            <w:tcW w:w="1774" w:type="dxa"/>
          </w:tcPr>
          <w:p w14:paraId="00F503B6" w14:textId="77777777" w:rsidR="00E84C1F" w:rsidRPr="00E84C1F" w:rsidRDefault="00E84C1F" w:rsidP="00E84C1F">
            <w:pPr>
              <w:pStyle w:val="NormalWeb"/>
              <w:spacing w:line="276"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Position</w:t>
            </w:r>
          </w:p>
        </w:tc>
        <w:tc>
          <w:tcPr>
            <w:tcW w:w="8149" w:type="dxa"/>
          </w:tcPr>
          <w:p w14:paraId="529C0354" w14:textId="4F1C0787" w:rsidR="00E84C1F" w:rsidRPr="00E84C1F" w:rsidRDefault="00DF5166" w:rsidP="00A53987">
            <w:pPr>
              <w:pStyle w:val="NormalWeb"/>
              <w:spacing w:line="360" w:lineRule="auto"/>
              <w:rPr>
                <w:rFonts w:ascii="Calibri" w:eastAsia="Calibri" w:hAnsi="Calibri" w:cs="Calibri"/>
                <w:color w:val="365F91" w:themeColor="accent1" w:themeShade="BF"/>
                <w:sz w:val="22"/>
                <w:szCs w:val="22"/>
                <w:lang w:eastAsia="en-US"/>
              </w:rPr>
            </w:pPr>
            <w:r w:rsidRPr="00DF5166">
              <w:rPr>
                <w:rFonts w:ascii="Calibri" w:hAnsi="Calibri" w:cs="Calibri"/>
                <w:b/>
                <w:color w:val="365F91" w:themeColor="accent1" w:themeShade="BF"/>
                <w:lang w:val="en-GB"/>
              </w:rPr>
              <w:t>Medical Information, Pharmacovigilance and Regulatory Compliance Associate</w:t>
            </w:r>
          </w:p>
        </w:tc>
      </w:tr>
      <w:tr w:rsidR="00DF5166" w14:paraId="4E4B63C0" w14:textId="77777777" w:rsidTr="00DF5166">
        <w:tc>
          <w:tcPr>
            <w:tcW w:w="1774" w:type="dxa"/>
          </w:tcPr>
          <w:p w14:paraId="0556A10A" w14:textId="77777777" w:rsidR="00DF5166" w:rsidRPr="00E84C1F" w:rsidRDefault="00DF5166" w:rsidP="00DF5166">
            <w:pPr>
              <w:pStyle w:val="NormalWeb"/>
              <w:spacing w:line="360"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Reports To</w:t>
            </w:r>
          </w:p>
        </w:tc>
        <w:tc>
          <w:tcPr>
            <w:tcW w:w="8149" w:type="dxa"/>
          </w:tcPr>
          <w:p w14:paraId="676CA6E4" w14:textId="43A50A27" w:rsidR="00DF5166" w:rsidRPr="008065CD" w:rsidRDefault="00DF5166" w:rsidP="00DF5166">
            <w:pPr>
              <w:pStyle w:val="NormalWeb"/>
              <w:spacing w:line="360" w:lineRule="auto"/>
              <w:rPr>
                <w:rFonts w:ascii="Calibri" w:eastAsia="Calibri" w:hAnsi="Calibri" w:cs="Calibri"/>
                <w:color w:val="365F91" w:themeColor="accent1" w:themeShade="BF"/>
                <w:sz w:val="22"/>
                <w:szCs w:val="22"/>
                <w:lang w:eastAsia="en-US"/>
              </w:rPr>
            </w:pPr>
            <w:r w:rsidRPr="00DF5166">
              <w:rPr>
                <w:rFonts w:ascii="Calibri" w:hAnsi="Calibri" w:cs="Calibri"/>
                <w:b/>
                <w:color w:val="365F91" w:themeColor="accent1" w:themeShade="BF"/>
                <w:lang w:val="en-GB"/>
              </w:rPr>
              <w:t>Director, Regulatory Affairs &amp; Quality Assurance</w:t>
            </w:r>
          </w:p>
        </w:tc>
      </w:tr>
      <w:tr w:rsidR="00DF5166" w14:paraId="00B9E841" w14:textId="77777777" w:rsidTr="00DF5166">
        <w:tc>
          <w:tcPr>
            <w:tcW w:w="1774" w:type="dxa"/>
          </w:tcPr>
          <w:p w14:paraId="3D3E9E4F" w14:textId="77777777" w:rsidR="00DF5166" w:rsidRPr="00463498" w:rsidRDefault="00DF5166" w:rsidP="00DF5166">
            <w:pPr>
              <w:spacing w:after="0"/>
              <w:rPr>
                <w:b/>
                <w:bCs/>
                <w:color w:val="365F91" w:themeColor="accent1" w:themeShade="BF"/>
                <w:sz w:val="24"/>
                <w:szCs w:val="24"/>
                <w:lang w:val="en-CA"/>
              </w:rPr>
            </w:pPr>
            <w:r w:rsidRPr="00463498">
              <w:rPr>
                <w:b/>
                <w:bCs/>
                <w:color w:val="365F91" w:themeColor="accent1" w:themeShade="BF"/>
                <w:sz w:val="24"/>
                <w:szCs w:val="24"/>
                <w:lang w:val="en-CA"/>
              </w:rPr>
              <w:t>Responsibilities</w:t>
            </w:r>
          </w:p>
          <w:p w14:paraId="264C0335" w14:textId="77777777" w:rsidR="00DF5166" w:rsidRPr="00463498" w:rsidRDefault="00DF5166" w:rsidP="00DF5166">
            <w:pPr>
              <w:pStyle w:val="NormalWeb"/>
              <w:spacing w:line="360" w:lineRule="auto"/>
              <w:rPr>
                <w:rFonts w:ascii="Calibri" w:eastAsia="Calibri" w:hAnsi="Calibri"/>
                <w:color w:val="365F91" w:themeColor="accent1" w:themeShade="BF"/>
                <w:sz w:val="22"/>
                <w:szCs w:val="22"/>
                <w:lang w:eastAsia="en-US"/>
              </w:rPr>
            </w:pPr>
          </w:p>
        </w:tc>
        <w:tc>
          <w:tcPr>
            <w:tcW w:w="8149" w:type="dxa"/>
          </w:tcPr>
          <w:p w14:paraId="797C923E" w14:textId="2719F640" w:rsidR="00DF5166" w:rsidRPr="00DF5166" w:rsidRDefault="00DF5166" w:rsidP="00DF5166">
            <w:pPr>
              <w:rPr>
                <w:color w:val="365F91" w:themeColor="accent1" w:themeShade="BF"/>
                <w:lang w:val="en-CA"/>
              </w:rPr>
            </w:pPr>
            <w:r w:rsidRPr="00DF5166">
              <w:rPr>
                <w:color w:val="365F91" w:themeColor="accent1" w:themeShade="BF"/>
                <w:lang w:val="en-CA"/>
              </w:rPr>
              <w:t xml:space="preserve">Key responsibilities may include, but are not limited to: </w:t>
            </w:r>
          </w:p>
          <w:p w14:paraId="090FDE52" w14:textId="09444F07" w:rsidR="00DF5166" w:rsidRPr="00DF5166" w:rsidRDefault="00DF5166" w:rsidP="00DF5166">
            <w:pPr>
              <w:rPr>
                <w:rFonts w:eastAsia="Times New Roman" w:cs="Calibri"/>
                <w:b/>
                <w:color w:val="365F91" w:themeColor="accent1" w:themeShade="BF"/>
                <w:sz w:val="24"/>
                <w:szCs w:val="24"/>
                <w:lang w:val="en-GB" w:eastAsia="en-CA"/>
              </w:rPr>
            </w:pPr>
            <w:r w:rsidRPr="00DF5166">
              <w:rPr>
                <w:rFonts w:eastAsia="Times New Roman" w:cs="Calibri"/>
                <w:b/>
                <w:color w:val="365F91" w:themeColor="accent1" w:themeShade="BF"/>
                <w:sz w:val="24"/>
                <w:szCs w:val="24"/>
                <w:lang w:val="en-GB" w:eastAsia="en-CA"/>
              </w:rPr>
              <w:t xml:space="preserve">Medical Information &amp; Pharmacovigilance – 70%: </w:t>
            </w:r>
          </w:p>
          <w:tbl>
            <w:tblPr>
              <w:tblW w:w="6911" w:type="dxa"/>
              <w:tblBorders>
                <w:top w:val="nil"/>
                <w:left w:val="nil"/>
                <w:bottom w:val="nil"/>
                <w:right w:val="nil"/>
              </w:tblBorders>
              <w:tblLook w:val="0000" w:firstRow="0" w:lastRow="0" w:firstColumn="0" w:lastColumn="0" w:noHBand="0" w:noVBand="0"/>
            </w:tblPr>
            <w:tblGrid>
              <w:gridCol w:w="6911"/>
            </w:tblGrid>
            <w:tr w:rsidR="00DF5166" w:rsidRPr="00DF5166" w14:paraId="3D44FAD2" w14:textId="77777777" w:rsidTr="00AF5400">
              <w:trPr>
                <w:trHeight w:val="2719"/>
              </w:trPr>
              <w:tc>
                <w:tcPr>
                  <w:tcW w:w="0" w:type="auto"/>
                </w:tcPr>
                <w:p w14:paraId="40D09A33"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Contribute to daily pharmacovigilance and medical Information operations for medicinal products</w:t>
                  </w:r>
                </w:p>
                <w:p w14:paraId="1DB86907"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Assessment of incoming communication to identify potential adverse event reports and submission of expedited and periodic reports to Health Canada.</w:t>
                  </w:r>
                </w:p>
                <w:p w14:paraId="46A1E47E"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Case management:  Triage cases/adverse event reports in Canada: receive, evaluate, process, </w:t>
                  </w:r>
                  <w:proofErr w:type="gramStart"/>
                  <w:r w:rsidRPr="00DF5166">
                    <w:rPr>
                      <w:color w:val="365F91" w:themeColor="accent1" w:themeShade="BF"/>
                      <w:lang w:val="en-CA"/>
                    </w:rPr>
                    <w:t>track</w:t>
                  </w:r>
                  <w:proofErr w:type="gramEnd"/>
                  <w:r w:rsidRPr="00DF5166">
                    <w:rPr>
                      <w:color w:val="365F91" w:themeColor="accent1" w:themeShade="BF"/>
                      <w:lang w:val="en-CA"/>
                    </w:rPr>
                    <w:t xml:space="preserve"> and accurate data entry of adverse events within timelines as described in the Global and local Pharmacovigilance SOPs </w:t>
                  </w:r>
                </w:p>
                <w:p w14:paraId="4BC7A365"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Collect and process adverse drug reactions from all sources, when required </w:t>
                  </w:r>
                </w:p>
                <w:p w14:paraId="44D42991"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MedDRA coding of all relevant cases, when required </w:t>
                  </w:r>
                </w:p>
                <w:p w14:paraId="1A4B6B48"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Submit all reportable cases for assigned products to the regulatory agency according to local legislation, when required  </w:t>
                  </w:r>
                </w:p>
                <w:p w14:paraId="5A5F6732"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Initiates and conducts follow-up activities related to local ADR reports </w:t>
                  </w:r>
                </w:p>
                <w:p w14:paraId="1906D24B"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lastRenderedPageBreak/>
                    <w:t xml:space="preserve">Conduct literature search for the products </w:t>
                  </w:r>
                </w:p>
                <w:p w14:paraId="35BE34A7"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Screening of regulatory agency databases for identification of Individual Case Safety Reports for assigned products </w:t>
                  </w:r>
                </w:p>
                <w:p w14:paraId="5CF6C75A"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Fulfill the adverse event reporting exchange requirements as described in the Pharmacovigilance Agreements</w:t>
                  </w:r>
                </w:p>
                <w:p w14:paraId="024ABBFD"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Reconcile adverse event reports received from stakeholders </w:t>
                  </w:r>
                </w:p>
                <w:p w14:paraId="081A88CB" w14:textId="77777777" w:rsidR="00DF5166" w:rsidRPr="00DF5166" w:rsidRDefault="00DF5166" w:rsidP="00DF5166">
                  <w:pPr>
                    <w:numPr>
                      <w:ilvl w:val="0"/>
                      <w:numId w:val="25"/>
                    </w:numPr>
                    <w:spacing w:before="100" w:beforeAutospacing="1" w:after="100" w:afterAutospacing="1" w:line="240" w:lineRule="auto"/>
                    <w:rPr>
                      <w:color w:val="365F91" w:themeColor="accent1" w:themeShade="BF"/>
                      <w:lang w:val="en-CA"/>
                    </w:rPr>
                  </w:pPr>
                  <w:r w:rsidRPr="00DF5166">
                    <w:rPr>
                      <w:color w:val="365F91" w:themeColor="accent1" w:themeShade="BF"/>
                      <w:lang w:val="en-CA"/>
                    </w:rPr>
                    <w:t>Contributes to Pharmacovigilance inspection readiness, in collaboration with the Quality department (PV audits, CAPA plans).</w:t>
                  </w:r>
                </w:p>
                <w:p w14:paraId="7CFE89D8"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Maintain Aspen Canada SOPs pertaining to PV and Medical Information </w:t>
                  </w:r>
                </w:p>
                <w:p w14:paraId="4BFB19D8"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Manage Medical Enquiries in a timely manner, including maintenance of standard response documents in collaboration with Global Medical Affairs.</w:t>
                  </w:r>
                </w:p>
                <w:p w14:paraId="7B1B643C"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Adhere to all Corporate and local policies and procedures; maintain the training up to date </w:t>
                  </w:r>
                </w:p>
                <w:p w14:paraId="64E139CC"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Reconcile medical information records with external and internal stakeholders </w:t>
                  </w:r>
                </w:p>
                <w:p w14:paraId="435AA41B" w14:textId="3A133535"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Test inbound channels of local phone line/websites and document the outcome </w:t>
                  </w:r>
                </w:p>
                <w:p w14:paraId="56A00CCD" w14:textId="77777777" w:rsidR="00DF5166" w:rsidRDefault="00DF5166" w:rsidP="00DF5166">
                  <w:pPr>
                    <w:rPr>
                      <w:color w:val="365F91" w:themeColor="accent1" w:themeShade="BF"/>
                      <w:lang w:val="en-CA"/>
                    </w:rPr>
                  </w:pPr>
                </w:p>
                <w:p w14:paraId="1D295419" w14:textId="73F0D515" w:rsidR="00DF5166" w:rsidRPr="00DF5166" w:rsidRDefault="00DF5166" w:rsidP="00DF5166">
                  <w:pPr>
                    <w:rPr>
                      <w:b/>
                      <w:bCs/>
                      <w:color w:val="365F91" w:themeColor="accent1" w:themeShade="BF"/>
                      <w:lang w:val="en-CA"/>
                    </w:rPr>
                  </w:pPr>
                  <w:r w:rsidRPr="00DF5166">
                    <w:rPr>
                      <w:b/>
                      <w:bCs/>
                      <w:color w:val="365F91" w:themeColor="accent1" w:themeShade="BF"/>
                      <w:lang w:val="en-CA"/>
                    </w:rPr>
                    <w:t>Regulatory/Quality Compliance – 30%</w:t>
                  </w:r>
                </w:p>
                <w:p w14:paraId="558C023F" w14:textId="77777777" w:rsidR="00DF5166" w:rsidRPr="00DF5166" w:rsidRDefault="00DF5166" w:rsidP="00DF5166">
                  <w:pPr>
                    <w:pStyle w:val="ListParagraph"/>
                    <w:numPr>
                      <w:ilvl w:val="0"/>
                      <w:numId w:val="25"/>
                    </w:numPr>
                    <w:spacing w:after="0" w:line="240" w:lineRule="auto"/>
                    <w:rPr>
                      <w:color w:val="365F91" w:themeColor="accent1" w:themeShade="BF"/>
                      <w:lang w:val="en-CA"/>
                    </w:rPr>
                  </w:pPr>
                  <w:r w:rsidRPr="00DF5166">
                    <w:rPr>
                      <w:color w:val="365F91" w:themeColor="accent1" w:themeShade="BF"/>
                      <w:lang w:val="en-CA"/>
                    </w:rPr>
                    <w:t xml:space="preserve">Prepare Annual Reports (DEL, MDEL, DIN renewals, YBPRs) and Administrative Submissions to the regulatory agency </w:t>
                  </w:r>
                </w:p>
                <w:p w14:paraId="773F0971" w14:textId="77777777" w:rsidR="00DF5166" w:rsidRPr="00DF5166" w:rsidRDefault="00DF5166" w:rsidP="00DF5166">
                  <w:pPr>
                    <w:pStyle w:val="ListParagraph"/>
                    <w:numPr>
                      <w:ilvl w:val="0"/>
                      <w:numId w:val="25"/>
                    </w:numPr>
                    <w:spacing w:after="0" w:line="240" w:lineRule="auto"/>
                    <w:rPr>
                      <w:color w:val="365F91" w:themeColor="accent1" w:themeShade="BF"/>
                      <w:lang w:val="en-CA"/>
                    </w:rPr>
                  </w:pPr>
                  <w:r w:rsidRPr="00DF5166">
                    <w:rPr>
                      <w:color w:val="365F91" w:themeColor="accent1" w:themeShade="BF"/>
                      <w:lang w:val="en-CA"/>
                    </w:rPr>
                    <w:t>Responsible for preparing and filing regulatory submissions for product monograph and labelling updates</w:t>
                  </w:r>
                </w:p>
                <w:p w14:paraId="485A3D18" w14:textId="77777777" w:rsidR="00DF5166" w:rsidRPr="00DF5166" w:rsidRDefault="00DF5166" w:rsidP="00DF5166">
                  <w:pPr>
                    <w:pStyle w:val="ListParagraph"/>
                    <w:numPr>
                      <w:ilvl w:val="0"/>
                      <w:numId w:val="25"/>
                    </w:numPr>
                    <w:spacing w:after="0" w:line="240" w:lineRule="auto"/>
                    <w:rPr>
                      <w:color w:val="365F91" w:themeColor="accent1" w:themeShade="BF"/>
                      <w:lang w:val="en-CA"/>
                    </w:rPr>
                  </w:pPr>
                  <w:r w:rsidRPr="00DF5166">
                    <w:rPr>
                      <w:color w:val="365F91" w:themeColor="accent1" w:themeShade="BF"/>
                      <w:lang w:val="en-CA"/>
                    </w:rPr>
                    <w:t xml:space="preserve">Prepare the Annual Notifications and submit to the regulatory agency </w:t>
                  </w:r>
                </w:p>
                <w:p w14:paraId="48E6A419" w14:textId="77777777" w:rsidR="00DF5166" w:rsidRPr="00DF5166" w:rsidRDefault="00DF5166" w:rsidP="00DF5166">
                  <w:pPr>
                    <w:pStyle w:val="ListParagraph"/>
                    <w:numPr>
                      <w:ilvl w:val="0"/>
                      <w:numId w:val="25"/>
                    </w:numPr>
                    <w:spacing w:after="0" w:line="240" w:lineRule="auto"/>
                    <w:rPr>
                      <w:color w:val="365F91" w:themeColor="accent1" w:themeShade="BF"/>
                      <w:lang w:val="en-CA"/>
                    </w:rPr>
                  </w:pPr>
                  <w:r w:rsidRPr="00DF5166">
                    <w:rPr>
                      <w:color w:val="365F91" w:themeColor="accent1" w:themeShade="BF"/>
                      <w:lang w:val="en-CA"/>
                    </w:rPr>
                    <w:t xml:space="preserve">Conduct the Annual Product Reviews (APRs) and the Stability Reviews </w:t>
                  </w:r>
                </w:p>
                <w:p w14:paraId="53323FE1" w14:textId="77777777" w:rsidR="00DF5166" w:rsidRPr="00DF5166" w:rsidRDefault="00DF5166" w:rsidP="00DF5166">
                  <w:pPr>
                    <w:pStyle w:val="ListParagraph"/>
                    <w:numPr>
                      <w:ilvl w:val="0"/>
                      <w:numId w:val="25"/>
                    </w:numPr>
                    <w:spacing w:after="0" w:line="240" w:lineRule="auto"/>
                    <w:rPr>
                      <w:color w:val="365F91" w:themeColor="accent1" w:themeShade="BF"/>
                      <w:lang w:val="en-CA"/>
                    </w:rPr>
                  </w:pPr>
                  <w:r w:rsidRPr="00DF5166">
                    <w:rPr>
                      <w:color w:val="365F91" w:themeColor="accent1" w:themeShade="BF"/>
                      <w:lang w:val="en-CA"/>
                    </w:rPr>
                    <w:t>Review labeling for Regulatory requirements</w:t>
                  </w:r>
                </w:p>
                <w:p w14:paraId="49C96AB0" w14:textId="77777777" w:rsidR="00DF5166" w:rsidRPr="00DF5166" w:rsidRDefault="00DF5166" w:rsidP="00DF5166">
                  <w:pPr>
                    <w:pStyle w:val="ListParagraph"/>
                    <w:numPr>
                      <w:ilvl w:val="0"/>
                      <w:numId w:val="25"/>
                    </w:numPr>
                    <w:spacing w:after="0" w:line="240" w:lineRule="auto"/>
                    <w:rPr>
                      <w:color w:val="365F91" w:themeColor="accent1" w:themeShade="BF"/>
                      <w:lang w:val="en-CA"/>
                    </w:rPr>
                  </w:pPr>
                  <w:r w:rsidRPr="00DF5166">
                    <w:rPr>
                      <w:color w:val="365F91" w:themeColor="accent1" w:themeShade="BF"/>
                      <w:lang w:val="en-CA"/>
                    </w:rPr>
                    <w:t>Independent interactions with cross-functional teams</w:t>
                  </w:r>
                </w:p>
                <w:p w14:paraId="4F0EB482"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Use and update regulatory information systems for planning, preparing, </w:t>
                  </w:r>
                  <w:proofErr w:type="gramStart"/>
                  <w:r w:rsidRPr="00DF5166">
                    <w:rPr>
                      <w:color w:val="365F91" w:themeColor="accent1" w:themeShade="BF"/>
                      <w:lang w:val="en-CA"/>
                    </w:rPr>
                    <w:t>tracking</w:t>
                  </w:r>
                  <w:proofErr w:type="gramEnd"/>
                  <w:r w:rsidRPr="00DF5166">
                    <w:rPr>
                      <w:color w:val="365F91" w:themeColor="accent1" w:themeShade="BF"/>
                      <w:lang w:val="en-CA"/>
                    </w:rPr>
                    <w:t xml:space="preserve"> and storing submissions to regulatory agency</w:t>
                  </w:r>
                </w:p>
                <w:p w14:paraId="022FBF83" w14:textId="77777777" w:rsidR="00DF5166" w:rsidRP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 xml:space="preserve">Initiate or contribute to routine local process improvements, which have an impact on the working of the Regulatory Affairs function </w:t>
                  </w:r>
                </w:p>
                <w:p w14:paraId="6DF1579A" w14:textId="77777777" w:rsidR="00DF5166" w:rsidRDefault="00DF5166" w:rsidP="00DF5166">
                  <w:pPr>
                    <w:pStyle w:val="ListParagraph"/>
                    <w:numPr>
                      <w:ilvl w:val="0"/>
                      <w:numId w:val="25"/>
                    </w:numPr>
                    <w:spacing w:after="0" w:line="240" w:lineRule="auto"/>
                    <w:jc w:val="both"/>
                    <w:rPr>
                      <w:color w:val="365F91" w:themeColor="accent1" w:themeShade="BF"/>
                      <w:lang w:val="en-CA"/>
                    </w:rPr>
                  </w:pPr>
                  <w:r w:rsidRPr="00DF5166">
                    <w:rPr>
                      <w:color w:val="365F91" w:themeColor="accent1" w:themeShade="BF"/>
                      <w:lang w:val="en-CA"/>
                    </w:rPr>
                    <w:t>Conduct thorough review and investigations, documentation, and follow up regarding any quality and compliance non-conformances in quality, regulatory and pharmacovigilance activities to ensure comply with local, corporate, and regulatory requirements</w:t>
                  </w:r>
                </w:p>
                <w:p w14:paraId="148A164B" w14:textId="77777777" w:rsidR="00A8716B" w:rsidRDefault="00A8716B" w:rsidP="00A8716B">
                  <w:pPr>
                    <w:spacing w:after="0" w:line="240" w:lineRule="auto"/>
                    <w:jc w:val="both"/>
                    <w:rPr>
                      <w:color w:val="365F91" w:themeColor="accent1" w:themeShade="BF"/>
                      <w:lang w:val="en-CA"/>
                    </w:rPr>
                  </w:pPr>
                </w:p>
                <w:p w14:paraId="7EBC2E83" w14:textId="77777777" w:rsidR="00A8716B" w:rsidRDefault="00A8716B" w:rsidP="00A8716B">
                  <w:pPr>
                    <w:spacing w:after="0" w:line="240" w:lineRule="auto"/>
                    <w:jc w:val="both"/>
                    <w:rPr>
                      <w:color w:val="365F91" w:themeColor="accent1" w:themeShade="BF"/>
                      <w:lang w:val="en-CA"/>
                    </w:rPr>
                  </w:pPr>
                </w:p>
                <w:p w14:paraId="7CD2C7B9" w14:textId="14514D9B" w:rsidR="00A8716B" w:rsidRPr="00A8716B" w:rsidRDefault="00A8716B" w:rsidP="00A8716B">
                  <w:pPr>
                    <w:spacing w:after="0" w:line="240" w:lineRule="auto"/>
                    <w:jc w:val="both"/>
                    <w:rPr>
                      <w:color w:val="365F91" w:themeColor="accent1" w:themeShade="BF"/>
                      <w:lang w:val="en-CA"/>
                    </w:rPr>
                  </w:pPr>
                </w:p>
              </w:tc>
            </w:tr>
          </w:tbl>
          <w:p w14:paraId="2F94F64E" w14:textId="5A74FF5E" w:rsidR="00DF5166" w:rsidRPr="00463498" w:rsidRDefault="00DF5166" w:rsidP="00DF5166">
            <w:pPr>
              <w:pStyle w:val="ListParagraph"/>
              <w:numPr>
                <w:ilvl w:val="0"/>
                <w:numId w:val="25"/>
              </w:numPr>
              <w:spacing w:after="0" w:line="240" w:lineRule="auto"/>
              <w:jc w:val="both"/>
              <w:rPr>
                <w:color w:val="365F91" w:themeColor="accent1" w:themeShade="BF"/>
                <w:lang w:val="en-CA"/>
              </w:rPr>
            </w:pPr>
          </w:p>
        </w:tc>
      </w:tr>
      <w:tr w:rsidR="00A8716B" w14:paraId="04F0B8F9" w14:textId="77777777" w:rsidTr="00DF5166">
        <w:tc>
          <w:tcPr>
            <w:tcW w:w="1774" w:type="dxa"/>
          </w:tcPr>
          <w:p w14:paraId="55C98E72" w14:textId="763CBAE3" w:rsidR="00A8716B" w:rsidRPr="00E84C1F" w:rsidRDefault="00A8716B" w:rsidP="00DF5166">
            <w:pPr>
              <w:pStyle w:val="NormalWeb"/>
              <w:spacing w:line="360" w:lineRule="auto"/>
              <w:rPr>
                <w:rFonts w:ascii="Calibri" w:eastAsia="Calibri" w:hAnsi="Calibri" w:cs="Calibri"/>
                <w:b/>
                <w:color w:val="365F91" w:themeColor="accent1" w:themeShade="BF"/>
                <w:sz w:val="22"/>
                <w:szCs w:val="22"/>
                <w:lang w:eastAsia="en-US"/>
              </w:rPr>
            </w:pPr>
            <w:r>
              <w:rPr>
                <w:rFonts w:ascii="Calibri" w:eastAsia="Calibri" w:hAnsi="Calibri" w:cs="Calibri"/>
                <w:b/>
                <w:color w:val="365F91" w:themeColor="accent1" w:themeShade="BF"/>
                <w:sz w:val="22"/>
                <w:szCs w:val="22"/>
                <w:lang w:eastAsia="en-US"/>
              </w:rPr>
              <w:lastRenderedPageBreak/>
              <w:t>Authority</w:t>
            </w:r>
          </w:p>
        </w:tc>
        <w:tc>
          <w:tcPr>
            <w:tcW w:w="8149" w:type="dxa"/>
          </w:tcPr>
          <w:p w14:paraId="71915488" w14:textId="71288F98" w:rsidR="00A8716B" w:rsidRPr="00A8716B" w:rsidRDefault="00A8716B" w:rsidP="00A8716B">
            <w:pPr>
              <w:rPr>
                <w:color w:val="365F91" w:themeColor="accent1" w:themeShade="BF"/>
                <w:lang w:val="en-CA"/>
              </w:rPr>
            </w:pPr>
            <w:r w:rsidRPr="00A8716B">
              <w:rPr>
                <w:color w:val="365F91" w:themeColor="accent1" w:themeShade="BF"/>
                <w:lang w:val="en-CA"/>
              </w:rPr>
              <w:t xml:space="preserve">The authority and resources required to fulfil the responsibilities of the Pharmacovigilance, Medical Information and Regulatory Compliance </w:t>
            </w:r>
            <w:proofErr w:type="spellStart"/>
            <w:r w:rsidRPr="00A8716B">
              <w:rPr>
                <w:color w:val="365F91" w:themeColor="accent1" w:themeShade="BF"/>
                <w:lang w:val="en-CA"/>
              </w:rPr>
              <w:t>Assocte</w:t>
            </w:r>
            <w:proofErr w:type="spellEnd"/>
            <w:r w:rsidRPr="00A8716B">
              <w:rPr>
                <w:color w:val="365F91" w:themeColor="accent1" w:themeShade="BF"/>
                <w:lang w:val="en-CA"/>
              </w:rPr>
              <w:t xml:space="preserve"> will be provided by management. This includes:</w:t>
            </w:r>
          </w:p>
          <w:p w14:paraId="6F64CC94"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Support Aspen Canada Call Centre in the handling of Adverse Events (AE) and Medical Information enquiries</w:t>
            </w:r>
          </w:p>
          <w:p w14:paraId="306A9C08" w14:textId="09094E9E" w:rsidR="00A8716B" w:rsidRPr="00DF5166"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Act as the local expert in all matters pertaining to PV within the post-marketing space and Medical Information and communicate on behalf of Aspen Canada with relevant global functions</w:t>
            </w:r>
          </w:p>
        </w:tc>
      </w:tr>
      <w:tr w:rsidR="00DF5166" w14:paraId="160877BC" w14:textId="77777777" w:rsidTr="00DF5166">
        <w:tc>
          <w:tcPr>
            <w:tcW w:w="1774" w:type="dxa"/>
          </w:tcPr>
          <w:p w14:paraId="770FB7E3" w14:textId="77777777" w:rsidR="00DF5166" w:rsidRPr="00E84C1F" w:rsidRDefault="00DF5166" w:rsidP="00A8716B">
            <w:pPr>
              <w:pStyle w:val="NormalWeb"/>
              <w:spacing w:line="240" w:lineRule="auto"/>
              <w:rPr>
                <w:rFonts w:ascii="Calibri" w:eastAsia="Calibri" w:hAnsi="Calibri" w:cs="Calibri"/>
                <w:b/>
                <w:color w:val="365F91" w:themeColor="accent1" w:themeShade="BF"/>
                <w:sz w:val="22"/>
                <w:szCs w:val="22"/>
                <w:lang w:eastAsia="en-US"/>
              </w:rPr>
            </w:pPr>
            <w:r w:rsidRPr="00E84C1F">
              <w:rPr>
                <w:rFonts w:ascii="Calibri" w:eastAsia="Calibri" w:hAnsi="Calibri" w:cs="Calibri"/>
                <w:b/>
                <w:color w:val="365F91" w:themeColor="accent1" w:themeShade="BF"/>
                <w:sz w:val="22"/>
                <w:szCs w:val="22"/>
                <w:lang w:eastAsia="en-US"/>
              </w:rPr>
              <w:t>Qualifications</w:t>
            </w:r>
          </w:p>
        </w:tc>
        <w:tc>
          <w:tcPr>
            <w:tcW w:w="8149" w:type="dxa"/>
          </w:tcPr>
          <w:p w14:paraId="2F9D9520"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Post-secondary Degree in a scientific or medically related field</w:t>
            </w:r>
          </w:p>
          <w:p w14:paraId="4B6EBEBF"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Strong knowledge of Health Canada guidelines for post-marketing drugs safety surveillance</w:t>
            </w:r>
          </w:p>
          <w:p w14:paraId="72988238"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Knowledge of regulatory guidelines and legislations in Canada in pharmacovigilance</w:t>
            </w:r>
          </w:p>
          <w:p w14:paraId="5FC8A091"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Must have knowledge of the Food &amp; Drugs Act and Food and Drug Regulations</w:t>
            </w:r>
          </w:p>
          <w:p w14:paraId="2EC4CF31"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Strong analytical skills with the ability to assess scientific data</w:t>
            </w:r>
          </w:p>
          <w:p w14:paraId="4F4D4F96"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Proficient computer skills, including all MS Office applications</w:t>
            </w:r>
          </w:p>
          <w:p w14:paraId="63F2FD97"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Exceptional oral and written communication skills</w:t>
            </w:r>
          </w:p>
          <w:p w14:paraId="7BF76A5C"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Ability to build and maintain strong and collaborative working relationships with internal and external business partners</w:t>
            </w:r>
          </w:p>
          <w:p w14:paraId="5DB849D3"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Strong time management and organizational skills</w:t>
            </w:r>
          </w:p>
          <w:p w14:paraId="01F50DFB"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Demonstrated solid judgement and negotiation skills</w:t>
            </w:r>
          </w:p>
          <w:p w14:paraId="3125FFFF"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Ability to work well independently and under pressure</w:t>
            </w:r>
          </w:p>
          <w:p w14:paraId="19DA9AC1" w14:textId="77777777" w:rsidR="00DF5166" w:rsidRPr="00DF5166" w:rsidRDefault="00DF5166" w:rsidP="00DF5166">
            <w:pPr>
              <w:pStyle w:val="ListParagraph"/>
              <w:numPr>
                <w:ilvl w:val="0"/>
                <w:numId w:val="32"/>
              </w:numPr>
              <w:spacing w:after="0"/>
              <w:rPr>
                <w:color w:val="365F91" w:themeColor="accent1" w:themeShade="BF"/>
                <w:lang w:val="en-CA"/>
              </w:rPr>
            </w:pPr>
            <w:r w:rsidRPr="00DF5166">
              <w:rPr>
                <w:color w:val="365F91" w:themeColor="accent1" w:themeShade="BF"/>
                <w:lang w:val="en-CA"/>
              </w:rPr>
              <w:t>Embodies a “can-do attitude” with a “roll-up-your-sleeves” approach</w:t>
            </w:r>
          </w:p>
          <w:p w14:paraId="3756BFCA" w14:textId="1B952843" w:rsidR="00DF5166" w:rsidRPr="00DF5166" w:rsidRDefault="00DF5166" w:rsidP="00DF5166">
            <w:pPr>
              <w:pStyle w:val="ListParagraph"/>
              <w:numPr>
                <w:ilvl w:val="0"/>
                <w:numId w:val="32"/>
              </w:numPr>
              <w:spacing w:after="0"/>
              <w:rPr>
                <w:rFonts w:ascii="Times New Roman" w:hAnsi="Times New Roman"/>
                <w:sz w:val="24"/>
                <w:szCs w:val="24"/>
                <w:lang w:val="en-CA"/>
              </w:rPr>
            </w:pPr>
            <w:r w:rsidRPr="00DF5166">
              <w:rPr>
                <w:color w:val="365F91" w:themeColor="accent1" w:themeShade="BF"/>
                <w:lang w:val="en-CA"/>
              </w:rPr>
              <w:t>Must have demonstrated success in a regulatory environment (</w:t>
            </w:r>
            <w:proofErr w:type="gramStart"/>
            <w:r w:rsidRPr="00DF5166">
              <w:rPr>
                <w:color w:val="365F91" w:themeColor="accent1" w:themeShade="BF"/>
                <w:lang w:val="en-CA"/>
              </w:rPr>
              <w:t>e.g.</w:t>
            </w:r>
            <w:proofErr w:type="gramEnd"/>
            <w:r w:rsidRPr="00DF5166">
              <w:rPr>
                <w:color w:val="365F91" w:themeColor="accent1" w:themeShade="BF"/>
                <w:lang w:val="en-CA"/>
              </w:rPr>
              <w:t xml:space="preserve"> experience leading a Regulatory submission team), and knowledge of drug development (clinical studies, chemistry and manufacturing etc.) in the healthcare industry.</w:t>
            </w:r>
          </w:p>
        </w:tc>
      </w:tr>
      <w:tr w:rsidR="00A8716B" w14:paraId="0FF14B6F" w14:textId="77777777" w:rsidTr="00DF5166">
        <w:tc>
          <w:tcPr>
            <w:tcW w:w="1774" w:type="dxa"/>
          </w:tcPr>
          <w:p w14:paraId="342CC937" w14:textId="7E4C52A1" w:rsidR="00A8716B" w:rsidRPr="00E84C1F" w:rsidRDefault="00A8716B" w:rsidP="00A8716B">
            <w:pPr>
              <w:pStyle w:val="NormalWeb"/>
              <w:spacing w:line="240" w:lineRule="auto"/>
              <w:rPr>
                <w:rFonts w:ascii="Calibri" w:eastAsia="Calibri" w:hAnsi="Calibri" w:cs="Calibri"/>
                <w:b/>
                <w:color w:val="365F91" w:themeColor="accent1" w:themeShade="BF"/>
                <w:sz w:val="22"/>
                <w:szCs w:val="22"/>
                <w:lang w:eastAsia="en-US"/>
              </w:rPr>
            </w:pPr>
            <w:r>
              <w:rPr>
                <w:rFonts w:ascii="Calibri" w:eastAsia="Calibri" w:hAnsi="Calibri" w:cs="Calibri"/>
                <w:b/>
                <w:color w:val="365F91" w:themeColor="accent1" w:themeShade="BF"/>
                <w:sz w:val="22"/>
                <w:szCs w:val="22"/>
                <w:lang w:eastAsia="en-US"/>
              </w:rPr>
              <w:t>Career Experience</w:t>
            </w:r>
          </w:p>
        </w:tc>
        <w:tc>
          <w:tcPr>
            <w:tcW w:w="8149" w:type="dxa"/>
          </w:tcPr>
          <w:p w14:paraId="7B22A327"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Must demonstrate working knowledge of Health Canada regulations and guidelines relating to Pharmacovigilance processes (</w:t>
            </w:r>
            <w:proofErr w:type="gramStart"/>
            <w:r w:rsidRPr="00A8716B">
              <w:rPr>
                <w:color w:val="365F91" w:themeColor="accent1" w:themeShade="BF"/>
                <w:lang w:val="en-CA"/>
              </w:rPr>
              <w:t>e.g.</w:t>
            </w:r>
            <w:proofErr w:type="gramEnd"/>
            <w:r w:rsidRPr="00A8716B">
              <w:rPr>
                <w:color w:val="365F91" w:themeColor="accent1" w:themeShade="BF"/>
                <w:lang w:val="en-CA"/>
              </w:rPr>
              <w:t xml:space="preserve"> post-marketing surveillance activities/ training).</w:t>
            </w:r>
          </w:p>
          <w:p w14:paraId="7ADA0CE5"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Experience with safety databases (ARGUS) and systems</w:t>
            </w:r>
          </w:p>
          <w:p w14:paraId="1A2DA59B" w14:textId="77777777" w:rsidR="00A8716B" w:rsidRPr="00A8716B" w:rsidRDefault="00A8716B" w:rsidP="00A8716B">
            <w:pPr>
              <w:numPr>
                <w:ilvl w:val="0"/>
                <w:numId w:val="32"/>
              </w:numPr>
              <w:spacing w:after="0" w:line="240" w:lineRule="auto"/>
              <w:rPr>
                <w:color w:val="365F91" w:themeColor="accent1" w:themeShade="BF"/>
                <w:lang w:val="en-CA"/>
              </w:rPr>
            </w:pPr>
            <w:r w:rsidRPr="00A8716B">
              <w:rPr>
                <w:color w:val="365F91" w:themeColor="accent1" w:themeShade="BF"/>
                <w:lang w:val="en-CA"/>
              </w:rPr>
              <w:t xml:space="preserve">Experience with safety case </w:t>
            </w:r>
            <w:proofErr w:type="gramStart"/>
            <w:r w:rsidRPr="00A8716B">
              <w:rPr>
                <w:color w:val="365F91" w:themeColor="accent1" w:themeShade="BF"/>
                <w:lang w:val="en-CA"/>
              </w:rPr>
              <w:t>processing;</w:t>
            </w:r>
            <w:proofErr w:type="gramEnd"/>
            <w:r w:rsidRPr="00A8716B">
              <w:rPr>
                <w:color w:val="365F91" w:themeColor="accent1" w:themeShade="BF"/>
                <w:lang w:val="en-CA"/>
              </w:rPr>
              <w:t xml:space="preserve"> </w:t>
            </w:r>
          </w:p>
          <w:p w14:paraId="6436DAE3"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Able to effectively coordinate safety related activities</w:t>
            </w:r>
          </w:p>
          <w:p w14:paraId="27781D6B" w14:textId="77777777" w:rsidR="00A8716B" w:rsidRPr="00A8716B" w:rsidRDefault="00A8716B" w:rsidP="00A8716B">
            <w:pPr>
              <w:numPr>
                <w:ilvl w:val="0"/>
                <w:numId w:val="32"/>
              </w:numPr>
              <w:spacing w:after="0" w:line="240" w:lineRule="auto"/>
              <w:rPr>
                <w:color w:val="365F91" w:themeColor="accent1" w:themeShade="BF"/>
                <w:lang w:val="en-CA"/>
              </w:rPr>
            </w:pPr>
            <w:r w:rsidRPr="00A8716B">
              <w:rPr>
                <w:color w:val="365F91" w:themeColor="accent1" w:themeShade="BF"/>
                <w:lang w:val="en-CA"/>
              </w:rPr>
              <w:t>Knowledge of ICH, CIOMS, Canadian legislation and Good Pharmacovigilance Practices (GVP)</w:t>
            </w:r>
          </w:p>
          <w:p w14:paraId="460D5B60"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 xml:space="preserve">Understanding of medical terminology (MedDRA coding) is an </w:t>
            </w:r>
            <w:proofErr w:type="spellStart"/>
            <w:r w:rsidRPr="00A8716B">
              <w:rPr>
                <w:color w:val="365F91" w:themeColor="accent1" w:themeShade="BF"/>
                <w:lang w:val="en-CA"/>
              </w:rPr>
              <w:t>assest</w:t>
            </w:r>
            <w:proofErr w:type="spellEnd"/>
            <w:r w:rsidRPr="00A8716B">
              <w:rPr>
                <w:color w:val="365F91" w:themeColor="accent1" w:themeShade="BF"/>
                <w:lang w:val="en-CA"/>
              </w:rPr>
              <w:t xml:space="preserve"> </w:t>
            </w:r>
          </w:p>
          <w:p w14:paraId="35301062" w14:textId="097752FC" w:rsidR="00A8716B" w:rsidRPr="00DF5166"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Bilingualism (English/French) is an asset.</w:t>
            </w:r>
          </w:p>
        </w:tc>
      </w:tr>
      <w:tr w:rsidR="00A8716B" w14:paraId="7698BEFB" w14:textId="77777777" w:rsidTr="00DF5166">
        <w:tc>
          <w:tcPr>
            <w:tcW w:w="1774" w:type="dxa"/>
          </w:tcPr>
          <w:p w14:paraId="4F28ACE4" w14:textId="01F5E28F" w:rsidR="00A8716B" w:rsidRPr="00E84C1F" w:rsidRDefault="00A8716B" w:rsidP="00A8716B">
            <w:pPr>
              <w:pStyle w:val="NormalWeb"/>
              <w:spacing w:line="240" w:lineRule="auto"/>
              <w:rPr>
                <w:rFonts w:ascii="Calibri" w:eastAsia="Calibri" w:hAnsi="Calibri" w:cs="Calibri"/>
                <w:b/>
                <w:color w:val="365F91" w:themeColor="accent1" w:themeShade="BF"/>
                <w:sz w:val="22"/>
                <w:szCs w:val="22"/>
                <w:lang w:eastAsia="en-US"/>
              </w:rPr>
            </w:pPr>
            <w:r>
              <w:rPr>
                <w:rFonts w:ascii="Calibri" w:eastAsia="Calibri" w:hAnsi="Calibri" w:cs="Calibri"/>
                <w:b/>
                <w:color w:val="365F91" w:themeColor="accent1" w:themeShade="BF"/>
                <w:sz w:val="22"/>
                <w:szCs w:val="22"/>
                <w:lang w:eastAsia="en-US"/>
              </w:rPr>
              <w:lastRenderedPageBreak/>
              <w:t>Required Core Competencies/Skills</w:t>
            </w:r>
          </w:p>
        </w:tc>
        <w:tc>
          <w:tcPr>
            <w:tcW w:w="8149" w:type="dxa"/>
          </w:tcPr>
          <w:p w14:paraId="7ADBF774"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 xml:space="preserve">Self-starter </w:t>
            </w:r>
          </w:p>
          <w:p w14:paraId="63B11B18"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 xml:space="preserve">Problem solving skills </w:t>
            </w:r>
          </w:p>
          <w:p w14:paraId="1C694E99"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 xml:space="preserve">Accuracy and attention to detail </w:t>
            </w:r>
          </w:p>
          <w:p w14:paraId="0EF9061F"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Effective organization and planning skills and ability to prioritize</w:t>
            </w:r>
          </w:p>
          <w:p w14:paraId="026C9221"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Ability to work under pressure and to tight deadlines</w:t>
            </w:r>
          </w:p>
          <w:p w14:paraId="1A2EBEAD"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Ability to work in a fast-paced international environment</w:t>
            </w:r>
          </w:p>
          <w:p w14:paraId="0E55BFA8"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Ability to manage projects in a matrix team environment and with both internal and external partners</w:t>
            </w:r>
          </w:p>
          <w:p w14:paraId="0AA63B1E"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Willing to travel</w:t>
            </w:r>
          </w:p>
          <w:p w14:paraId="2636B263" w14:textId="77777777" w:rsidR="00A8716B" w:rsidRPr="00A8716B" w:rsidRDefault="00A8716B" w:rsidP="00A8716B">
            <w:pPr>
              <w:pStyle w:val="ListParagraph"/>
              <w:numPr>
                <w:ilvl w:val="0"/>
                <w:numId w:val="32"/>
              </w:numPr>
              <w:spacing w:after="0"/>
              <w:rPr>
                <w:color w:val="365F91" w:themeColor="accent1" w:themeShade="BF"/>
                <w:lang w:val="en-CA"/>
              </w:rPr>
            </w:pPr>
            <w:r w:rsidRPr="00A8716B">
              <w:rPr>
                <w:color w:val="365F91" w:themeColor="accent1" w:themeShade="BF"/>
                <w:lang w:val="en-CA"/>
              </w:rPr>
              <w:t>Strong team player</w:t>
            </w:r>
          </w:p>
          <w:p w14:paraId="1B663431" w14:textId="77777777" w:rsidR="00A8716B" w:rsidRPr="00A8716B" w:rsidRDefault="00A8716B" w:rsidP="00A8716B">
            <w:pPr>
              <w:spacing w:after="0"/>
              <w:rPr>
                <w:color w:val="365F91" w:themeColor="accent1" w:themeShade="BF"/>
                <w:lang w:val="en-CA"/>
              </w:rPr>
            </w:pPr>
          </w:p>
          <w:p w14:paraId="3AED066E" w14:textId="7FFDE923" w:rsidR="00A8716B" w:rsidRPr="00A8716B" w:rsidRDefault="00A8716B" w:rsidP="00A8716B">
            <w:pPr>
              <w:spacing w:after="0"/>
              <w:rPr>
                <w:color w:val="365F91" w:themeColor="accent1" w:themeShade="BF"/>
                <w:lang w:val="en-CA"/>
              </w:rPr>
            </w:pPr>
            <w:r>
              <w:rPr>
                <w:color w:val="365F91" w:themeColor="accent1" w:themeShade="BF"/>
                <w:lang w:val="en-CA"/>
              </w:rPr>
              <w:t>D</w:t>
            </w:r>
            <w:r w:rsidRPr="00A8716B">
              <w:rPr>
                <w:color w:val="365F91" w:themeColor="accent1" w:themeShade="BF"/>
                <w:lang w:val="en-CA"/>
              </w:rPr>
              <w:t xml:space="preserve">emonstrates Aspen Competencies: </w:t>
            </w:r>
          </w:p>
          <w:p w14:paraId="667D7906" w14:textId="2A40154F" w:rsidR="00A8716B" w:rsidRPr="00A8716B" w:rsidRDefault="00A8716B" w:rsidP="00A8716B">
            <w:pPr>
              <w:spacing w:after="0"/>
              <w:rPr>
                <w:color w:val="365F91" w:themeColor="accent1" w:themeShade="BF"/>
                <w:lang w:val="en-CA"/>
              </w:rPr>
            </w:pPr>
            <w:r w:rsidRPr="00A8716B">
              <w:rPr>
                <w:color w:val="365F91" w:themeColor="accent1" w:themeShade="BF"/>
                <w:lang w:val="en-CA"/>
              </w:rPr>
              <w:t>Performance driven – deciding &amp; initiating action; achieving personal work goals &amp; objectives; creates the future – creating &amp; innovating; formulating strategies &amp; concepts; makes good decisions – analyzing, deciding &amp; initiating action; fosters consumer &amp; customer commitment – applying expertise &amp; technology, entrepreneurial &amp; commercial thinking; accountability &amp; ownership – delivering results &amp;meeting customer expectations; deciding &amp; initiating action; develops talent, teamwork &amp;diversity – working with people, relating &amp; networking; deals with ambiguity, embrace change –adapting &amp; responding to change; coping with pressure &amp; setbacks; communicates effectively –relating &amp; networking; persuading &amp; influencing; presenting &amp; communicating information; leads and influences others – leading &amp; supervising; persuading &amp; influencing; continuously grows &amp; develop – achieving personal work goals; learning &amp; researching; Demonstrates a passion for Aspen; contributes special expertise; takes action with integrity</w:t>
            </w:r>
          </w:p>
        </w:tc>
      </w:tr>
    </w:tbl>
    <w:p w14:paraId="5DE6287C" w14:textId="77777777" w:rsidR="00E84C1F" w:rsidRDefault="00E84C1F" w:rsidP="00E84C1F">
      <w:pPr>
        <w:spacing w:after="0"/>
        <w:rPr>
          <w:b/>
          <w:color w:val="365F91" w:themeColor="accent1" w:themeShade="BF"/>
          <w:lang w:val="en-CA"/>
        </w:rPr>
      </w:pPr>
    </w:p>
    <w:p w14:paraId="61ABF7EF" w14:textId="5DD7D712" w:rsidR="00146F2A" w:rsidRDefault="00146F2A" w:rsidP="00146F2A">
      <w:pPr>
        <w:spacing w:after="0"/>
        <w:rPr>
          <w:color w:val="365F91" w:themeColor="accent1" w:themeShade="BF"/>
          <w:lang w:val="en-CA"/>
        </w:rPr>
      </w:pPr>
      <w:r w:rsidRPr="00734145">
        <w:rPr>
          <w:color w:val="365F91" w:themeColor="accent1" w:themeShade="BF"/>
          <w:lang w:val="en-CA"/>
        </w:rPr>
        <w:t xml:space="preserve">If you are interested in this position, please send your cover letter and resume </w:t>
      </w:r>
      <w:r w:rsidR="00BB19B7">
        <w:rPr>
          <w:color w:val="365F91" w:themeColor="accent1" w:themeShade="BF"/>
          <w:lang w:val="en-CA"/>
        </w:rPr>
        <w:t xml:space="preserve">to </w:t>
      </w:r>
      <w:hyperlink r:id="rId7" w:history="1">
        <w:r w:rsidR="00BB19B7" w:rsidRPr="000B1B67">
          <w:rPr>
            <w:rStyle w:val="Hyperlink"/>
            <w:lang w:val="en-CA"/>
          </w:rPr>
          <w:t>careers@aspenpharma.ca</w:t>
        </w:r>
      </w:hyperlink>
      <w:r w:rsidR="00BB19B7">
        <w:rPr>
          <w:color w:val="365F91" w:themeColor="accent1" w:themeShade="BF"/>
          <w:lang w:val="en-CA"/>
        </w:rPr>
        <w:t xml:space="preserve"> </w:t>
      </w:r>
      <w:r w:rsidRPr="00734145">
        <w:rPr>
          <w:color w:val="365F91" w:themeColor="accent1" w:themeShade="BF"/>
          <w:lang w:val="en-CA"/>
        </w:rPr>
        <w:t xml:space="preserve">.  Specify </w:t>
      </w:r>
      <w:r w:rsidR="00DF5166" w:rsidRPr="00DF5166">
        <w:rPr>
          <w:rFonts w:eastAsia="Times New Roman" w:cs="Calibri"/>
          <w:b/>
          <w:color w:val="365F91" w:themeColor="accent1" w:themeShade="BF"/>
          <w:lang w:val="en-GB"/>
        </w:rPr>
        <w:t>Medical Information, Pharmacovigilance and Regulatory Compliance Associate</w:t>
      </w:r>
      <w:r w:rsidR="00D75836" w:rsidRPr="00D75836">
        <w:rPr>
          <w:b/>
          <w:color w:val="365F91" w:themeColor="accent1" w:themeShade="BF"/>
        </w:rPr>
        <w:t xml:space="preserve"> </w:t>
      </w:r>
      <w:r w:rsidRPr="00734145">
        <w:rPr>
          <w:color w:val="365F91" w:themeColor="accent1" w:themeShade="BF"/>
          <w:lang w:val="en-CA"/>
        </w:rPr>
        <w:t>in the subject line of your email and your cover letter.</w:t>
      </w:r>
    </w:p>
    <w:p w14:paraId="1D537254" w14:textId="77777777" w:rsidR="00086BDB" w:rsidRPr="00D0594E" w:rsidRDefault="00086BDB" w:rsidP="00E84C1F">
      <w:pPr>
        <w:spacing w:after="0"/>
        <w:rPr>
          <w:color w:val="365F91" w:themeColor="accent1" w:themeShade="BF"/>
          <w:lang w:val="en-CA"/>
        </w:rPr>
      </w:pPr>
    </w:p>
    <w:p w14:paraId="2555C693" w14:textId="77777777" w:rsidR="00A53987" w:rsidRPr="00D0594E" w:rsidRDefault="003826BA" w:rsidP="00D0594E">
      <w:pPr>
        <w:spacing w:after="0"/>
        <w:jc w:val="both"/>
        <w:rPr>
          <w:color w:val="365F91" w:themeColor="accent1" w:themeShade="BF"/>
          <w:lang w:val="en-CA"/>
        </w:rPr>
      </w:pPr>
      <w:r w:rsidRPr="00D0594E">
        <w:rPr>
          <w:color w:val="365F91" w:themeColor="accent1" w:themeShade="BF"/>
          <w:lang w:val="en-CA"/>
        </w:rPr>
        <w:t xml:space="preserve">We thank you for your interest in employment with </w:t>
      </w:r>
      <w:r w:rsidR="006F6A02" w:rsidRPr="00D0594E">
        <w:rPr>
          <w:color w:val="365F91" w:themeColor="accent1" w:themeShade="BF"/>
          <w:lang w:val="en-CA"/>
        </w:rPr>
        <w:t>Aspen Pharmacare Canada</w:t>
      </w:r>
      <w:r w:rsidRPr="00D0594E">
        <w:rPr>
          <w:color w:val="365F91" w:themeColor="accent1" w:themeShade="BF"/>
          <w:lang w:val="en-CA"/>
        </w:rPr>
        <w:t xml:space="preserve"> however, only those candidates selected for an interview will be contacted</w:t>
      </w:r>
      <w:r w:rsidR="006F6A02" w:rsidRPr="00D0594E">
        <w:rPr>
          <w:color w:val="365F91" w:themeColor="accent1" w:themeShade="BF"/>
          <w:lang w:val="en-CA"/>
        </w:rPr>
        <w:t>.</w:t>
      </w:r>
    </w:p>
    <w:p w14:paraId="66AFC8DF" w14:textId="77777777" w:rsidR="00D0594E" w:rsidRPr="00D0594E" w:rsidRDefault="00D0594E" w:rsidP="00D0594E">
      <w:pPr>
        <w:spacing w:after="0"/>
        <w:jc w:val="both"/>
        <w:rPr>
          <w:color w:val="365F91" w:themeColor="accent1" w:themeShade="BF"/>
          <w:lang w:val="en-CA"/>
        </w:rPr>
      </w:pPr>
    </w:p>
    <w:p w14:paraId="00B9FA31" w14:textId="77777777" w:rsidR="00D0594E" w:rsidRPr="00D0594E" w:rsidRDefault="00D0594E" w:rsidP="00D0594E">
      <w:pPr>
        <w:spacing w:after="0"/>
        <w:jc w:val="both"/>
        <w:rPr>
          <w:color w:val="365F91" w:themeColor="accent1" w:themeShade="BF"/>
          <w:lang w:val="en-CA"/>
        </w:rPr>
      </w:pPr>
      <w:r w:rsidRPr="00D0594E">
        <w:rPr>
          <w:color w:val="365F91" w:themeColor="accent1" w:themeShade="BF"/>
          <w:lang w:val="en-CA"/>
        </w:rPr>
        <w:t>We are committed to providing persons with disabilities equal opportunities regarding all employment activities, including access to jobs and accommodations during employment as required, in accordance with the Ontario Human Rights Code (OHRC) and the Accessibility for Ontarians with Disabilities Act (AODA).</w:t>
      </w:r>
    </w:p>
    <w:sectPr w:rsidR="00D0594E" w:rsidRPr="00D0594E" w:rsidSect="00086BDB">
      <w:headerReference w:type="default" r:id="rId8"/>
      <w:footerReference w:type="default" r:id="rId9"/>
      <w:pgSz w:w="12240" w:h="15840"/>
      <w:pgMar w:top="720" w:right="1170" w:bottom="720" w:left="126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66C9" w14:textId="77777777" w:rsidR="00416210" w:rsidRDefault="00416210" w:rsidP="0042228E">
      <w:pPr>
        <w:spacing w:after="0" w:line="240" w:lineRule="auto"/>
      </w:pPr>
      <w:r>
        <w:separator/>
      </w:r>
    </w:p>
  </w:endnote>
  <w:endnote w:type="continuationSeparator" w:id="0">
    <w:p w14:paraId="059C53FB" w14:textId="77777777" w:rsidR="00416210" w:rsidRDefault="00416210" w:rsidP="004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C9FF" w14:textId="77777777" w:rsidR="00535C4A" w:rsidRDefault="00416210">
    <w:pPr>
      <w:pStyle w:val="Footer"/>
      <w:jc w:val="right"/>
    </w:pPr>
  </w:p>
  <w:p w14:paraId="540C11A7" w14:textId="77777777" w:rsidR="00003378" w:rsidRDefault="00416210">
    <w:pPr>
      <w:pStyle w:val="Footer"/>
    </w:pPr>
  </w:p>
  <w:p w14:paraId="6E0E2196" w14:textId="77777777" w:rsidR="00BC7B26" w:rsidRDefault="007F1D4F" w:rsidP="007F1D4F">
    <w:pPr>
      <w:pStyle w:val="Footer"/>
      <w:tabs>
        <w:tab w:val="clear" w:pos="4680"/>
        <w:tab w:val="clear" w:pos="9360"/>
        <w:tab w:val="left" w:pos="2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8D28" w14:textId="77777777" w:rsidR="00416210" w:rsidRDefault="00416210" w:rsidP="0042228E">
      <w:pPr>
        <w:spacing w:after="0" w:line="240" w:lineRule="auto"/>
      </w:pPr>
      <w:r>
        <w:separator/>
      </w:r>
    </w:p>
  </w:footnote>
  <w:footnote w:type="continuationSeparator" w:id="0">
    <w:p w14:paraId="7ED967BA" w14:textId="77777777" w:rsidR="00416210" w:rsidRDefault="00416210" w:rsidP="0042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EFB0" w14:textId="77777777" w:rsidR="006F08FF" w:rsidRDefault="00913FA5" w:rsidP="00146F2A">
    <w:pPr>
      <w:pStyle w:val="Header"/>
      <w:tabs>
        <w:tab w:val="clear" w:pos="4680"/>
        <w:tab w:val="clear" w:pos="9360"/>
        <w:tab w:val="center" w:pos="4905"/>
      </w:tabs>
    </w:pPr>
    <w:r>
      <w:rPr>
        <w:noProof/>
        <w:lang w:val="en-CA" w:eastAsia="en-CA"/>
      </w:rPr>
      <w:drawing>
        <wp:inline distT="0" distB="0" distL="0" distR="0" wp14:anchorId="2510C539" wp14:editId="0F6AEE82">
          <wp:extent cx="611759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7277" cy="1122092"/>
                  </a:xfrm>
                  <a:prstGeom prst="rect">
                    <a:avLst/>
                  </a:prstGeom>
                </pic:spPr>
              </pic:pic>
            </a:graphicData>
          </a:graphic>
        </wp:inline>
      </w:drawing>
    </w:r>
    <w:r w:rsidR="004E67E6">
      <w:rPr>
        <w:noProof/>
      </w:rPr>
      <w:t xml:space="preserve">                      </w:t>
    </w:r>
    <w:r w:rsidR="004E67E6" w:rsidRPr="004E67E6">
      <w:rPr>
        <w:noProof/>
      </w:rPr>
      <w:t xml:space="preserve"> </w:t>
    </w:r>
    <w:r w:rsidR="004E67E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9C7"/>
    <w:multiLevelType w:val="hybridMultilevel"/>
    <w:tmpl w:val="E10AD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C648C4"/>
    <w:multiLevelType w:val="hybridMultilevel"/>
    <w:tmpl w:val="7230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9693D"/>
    <w:multiLevelType w:val="hybridMultilevel"/>
    <w:tmpl w:val="4838D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2F099A"/>
    <w:multiLevelType w:val="hybridMultilevel"/>
    <w:tmpl w:val="2D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F30DF"/>
    <w:multiLevelType w:val="hybridMultilevel"/>
    <w:tmpl w:val="14FE9A4C"/>
    <w:lvl w:ilvl="0" w:tplc="7FB60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AE0514"/>
    <w:multiLevelType w:val="hybridMultilevel"/>
    <w:tmpl w:val="0D9EA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F6E0B"/>
    <w:multiLevelType w:val="multilevel"/>
    <w:tmpl w:val="CB30A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9319B"/>
    <w:multiLevelType w:val="hybridMultilevel"/>
    <w:tmpl w:val="D374BD02"/>
    <w:lvl w:ilvl="0" w:tplc="640EC4BC">
      <w:start w:val="1"/>
      <w:numFmt w:val="upperLetter"/>
      <w:lvlText w:val="%1."/>
      <w:lvlJc w:val="left"/>
      <w:pPr>
        <w:ind w:left="2289" w:hanging="360"/>
      </w:pPr>
      <w:rPr>
        <w:rFonts w:hint="default"/>
        <w:b w:val="0"/>
      </w:rPr>
    </w:lvl>
    <w:lvl w:ilvl="1" w:tplc="E534BB66" w:tentative="1">
      <w:start w:val="1"/>
      <w:numFmt w:val="lowerLetter"/>
      <w:lvlText w:val="%2."/>
      <w:lvlJc w:val="left"/>
      <w:pPr>
        <w:ind w:left="3009" w:hanging="360"/>
      </w:pPr>
    </w:lvl>
    <w:lvl w:ilvl="2" w:tplc="B3BCD24E" w:tentative="1">
      <w:start w:val="1"/>
      <w:numFmt w:val="lowerRoman"/>
      <w:lvlText w:val="%3."/>
      <w:lvlJc w:val="right"/>
      <w:pPr>
        <w:ind w:left="3729" w:hanging="180"/>
      </w:pPr>
    </w:lvl>
    <w:lvl w:ilvl="3" w:tplc="A678C614" w:tentative="1">
      <w:start w:val="1"/>
      <w:numFmt w:val="decimal"/>
      <w:lvlText w:val="%4."/>
      <w:lvlJc w:val="left"/>
      <w:pPr>
        <w:ind w:left="4449" w:hanging="360"/>
      </w:pPr>
    </w:lvl>
    <w:lvl w:ilvl="4" w:tplc="9202DA14" w:tentative="1">
      <w:start w:val="1"/>
      <w:numFmt w:val="lowerLetter"/>
      <w:lvlText w:val="%5."/>
      <w:lvlJc w:val="left"/>
      <w:pPr>
        <w:ind w:left="5169" w:hanging="360"/>
      </w:pPr>
    </w:lvl>
    <w:lvl w:ilvl="5" w:tplc="F3B2BE8A" w:tentative="1">
      <w:start w:val="1"/>
      <w:numFmt w:val="lowerRoman"/>
      <w:lvlText w:val="%6."/>
      <w:lvlJc w:val="right"/>
      <w:pPr>
        <w:ind w:left="5889" w:hanging="180"/>
      </w:pPr>
    </w:lvl>
    <w:lvl w:ilvl="6" w:tplc="456837AA" w:tentative="1">
      <w:start w:val="1"/>
      <w:numFmt w:val="decimal"/>
      <w:lvlText w:val="%7."/>
      <w:lvlJc w:val="left"/>
      <w:pPr>
        <w:ind w:left="6609" w:hanging="360"/>
      </w:pPr>
    </w:lvl>
    <w:lvl w:ilvl="7" w:tplc="CDC82550" w:tentative="1">
      <w:start w:val="1"/>
      <w:numFmt w:val="lowerLetter"/>
      <w:lvlText w:val="%8."/>
      <w:lvlJc w:val="left"/>
      <w:pPr>
        <w:ind w:left="7329" w:hanging="360"/>
      </w:pPr>
    </w:lvl>
    <w:lvl w:ilvl="8" w:tplc="D15EBF82" w:tentative="1">
      <w:start w:val="1"/>
      <w:numFmt w:val="lowerRoman"/>
      <w:lvlText w:val="%9."/>
      <w:lvlJc w:val="right"/>
      <w:pPr>
        <w:ind w:left="8049" w:hanging="180"/>
      </w:pPr>
    </w:lvl>
  </w:abstractNum>
  <w:abstractNum w:abstractNumId="8" w15:restartNumberingAfterBreak="0">
    <w:nsid w:val="16AF62D9"/>
    <w:multiLevelType w:val="hybridMultilevel"/>
    <w:tmpl w:val="C812DF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6DD6485"/>
    <w:multiLevelType w:val="hybridMultilevel"/>
    <w:tmpl w:val="34A88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3D3D89"/>
    <w:multiLevelType w:val="hybridMultilevel"/>
    <w:tmpl w:val="DEF03BB4"/>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E52EB"/>
    <w:multiLevelType w:val="hybridMultilevel"/>
    <w:tmpl w:val="94260C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4B3C21"/>
    <w:multiLevelType w:val="hybridMultilevel"/>
    <w:tmpl w:val="3D985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E09EF"/>
    <w:multiLevelType w:val="hybridMultilevel"/>
    <w:tmpl w:val="713E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F2C05"/>
    <w:multiLevelType w:val="hybridMultilevel"/>
    <w:tmpl w:val="0E203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F8752A7"/>
    <w:multiLevelType w:val="hybridMultilevel"/>
    <w:tmpl w:val="2C28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A14E4"/>
    <w:multiLevelType w:val="hybridMultilevel"/>
    <w:tmpl w:val="0F66FB1A"/>
    <w:lvl w:ilvl="0" w:tplc="10090001">
      <w:start w:val="1"/>
      <w:numFmt w:val="bullet"/>
      <w:lvlText w:val=""/>
      <w:lvlJc w:val="left"/>
      <w:pPr>
        <w:ind w:left="360" w:hanging="360"/>
      </w:pPr>
      <w:rPr>
        <w:rFonts w:ascii="Symbol" w:hAnsi="Symbol" w:hint="default"/>
      </w:rPr>
    </w:lvl>
    <w:lvl w:ilvl="1" w:tplc="819485B2">
      <w:numFmt w:val="bullet"/>
      <w:lvlText w:val="•"/>
      <w:lvlJc w:val="left"/>
      <w:pPr>
        <w:ind w:left="1080" w:hanging="360"/>
      </w:pPr>
      <w:rPr>
        <w:rFonts w:ascii="Tahoma" w:eastAsia="Times New Roman" w:hAnsi="Tahoma" w:cs="Tahoma"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29645E2"/>
    <w:multiLevelType w:val="hybridMultilevel"/>
    <w:tmpl w:val="3F98F3EA"/>
    <w:lvl w:ilvl="0" w:tplc="7FB60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4B2638"/>
    <w:multiLevelType w:val="hybridMultilevel"/>
    <w:tmpl w:val="E95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078EC"/>
    <w:multiLevelType w:val="hybridMultilevel"/>
    <w:tmpl w:val="244E4918"/>
    <w:lvl w:ilvl="0" w:tplc="DBB2FED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12543F"/>
    <w:multiLevelType w:val="hybridMultilevel"/>
    <w:tmpl w:val="6B24A4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6583BBF"/>
    <w:multiLevelType w:val="multilevel"/>
    <w:tmpl w:val="A9781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001465"/>
    <w:multiLevelType w:val="hybridMultilevel"/>
    <w:tmpl w:val="3BE40D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660C78"/>
    <w:multiLevelType w:val="multilevel"/>
    <w:tmpl w:val="7E0AE512"/>
    <w:lvl w:ilvl="0">
      <w:start w:val="1"/>
      <w:numFmt w:val="decimal"/>
      <w:pStyle w:val="tab1"/>
      <w:lvlText w:val="%1."/>
      <w:lvlJc w:val="left"/>
      <w:pPr>
        <w:ind w:left="502" w:hanging="360"/>
      </w:pPr>
      <w:rPr>
        <w:rFonts w:ascii="Arial" w:hAnsi="Arial" w:cs="Arial"/>
        <w:b w:val="0"/>
        <w:bCs w:val="0"/>
        <w:i w:val="0"/>
        <w:iCs w:val="0"/>
        <w:caps w:val="0"/>
        <w:smallCaps w:val="0"/>
        <w:strike w:val="0"/>
        <w:dstrike w:val="0"/>
        <w:noProof w:val="0"/>
        <w:vanish w:val="0"/>
        <w:color w:val="000000"/>
        <w:spacing w:val="0"/>
        <w:kern w:val="0"/>
        <w:position w:val="0"/>
        <w:sz w:val="22"/>
        <w:szCs w:val="22"/>
        <w:u w:val="none"/>
        <w:vertAlign w:val="baseline"/>
        <w:em w:val="none"/>
        <w:lang w:val="en-ZA" w:eastAsia="en-US" w:bidi="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2"/>
      <w:lvlText w:val="%1.%2."/>
      <w:lvlJc w:val="left"/>
      <w:pPr>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3"/>
      <w:lvlText w:val="%1.%2.%3."/>
      <w:lvlJc w:val="left"/>
      <w:pPr>
        <w:ind w:left="4060" w:hanging="504"/>
      </w:pPr>
      <w:rPr>
        <w:b w:val="0"/>
      </w:rPr>
    </w:lvl>
    <w:lvl w:ilvl="3">
      <w:start w:val="1"/>
      <w:numFmt w:val="decimal"/>
      <w:pStyle w:val="tab4"/>
      <w:lvlText w:val="%1.%2.%3.%4."/>
      <w:lvlJc w:val="left"/>
      <w:pPr>
        <w:ind w:left="4564"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5"/>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24" w15:restartNumberingAfterBreak="0">
    <w:nsid w:val="5FCF464C"/>
    <w:multiLevelType w:val="hybridMultilevel"/>
    <w:tmpl w:val="18E43802"/>
    <w:lvl w:ilvl="0" w:tplc="7FB60C90">
      <w:start w:val="1"/>
      <w:numFmt w:val="bullet"/>
      <w:lvlText w:val=""/>
      <w:lvlJc w:val="left"/>
      <w:pPr>
        <w:ind w:left="360" w:hanging="360"/>
      </w:pPr>
      <w:rPr>
        <w:rFonts w:ascii="Symbol" w:hAnsi="Symbol" w:hint="default"/>
      </w:rPr>
    </w:lvl>
    <w:lvl w:ilvl="1" w:tplc="4498F6A0">
      <w:start w:val="1"/>
      <w:numFmt w:val="bullet"/>
      <w:lvlText w:val=""/>
      <w:lvlJc w:val="left"/>
      <w:pPr>
        <w:ind w:left="1080" w:hanging="360"/>
      </w:pPr>
      <w:rPr>
        <w:rFonts w:ascii="Symbol" w:hAnsi="Symbol" w:hint="default"/>
      </w:rPr>
    </w:lvl>
    <w:lvl w:ilvl="2" w:tplc="E7203DEE">
      <w:start w:val="1"/>
      <w:numFmt w:val="lowerRoman"/>
      <w:lvlText w:val="%3."/>
      <w:lvlJc w:val="right"/>
      <w:pPr>
        <w:ind w:left="1800" w:hanging="180"/>
      </w:pPr>
    </w:lvl>
    <w:lvl w:ilvl="3" w:tplc="5AE80F30" w:tentative="1">
      <w:start w:val="1"/>
      <w:numFmt w:val="decimal"/>
      <w:lvlText w:val="%4."/>
      <w:lvlJc w:val="left"/>
      <w:pPr>
        <w:ind w:left="2520" w:hanging="360"/>
      </w:pPr>
    </w:lvl>
    <w:lvl w:ilvl="4" w:tplc="F39E780C" w:tentative="1">
      <w:start w:val="1"/>
      <w:numFmt w:val="lowerLetter"/>
      <w:lvlText w:val="%5."/>
      <w:lvlJc w:val="left"/>
      <w:pPr>
        <w:ind w:left="3240" w:hanging="360"/>
      </w:pPr>
    </w:lvl>
    <w:lvl w:ilvl="5" w:tplc="F4785AAE" w:tentative="1">
      <w:start w:val="1"/>
      <w:numFmt w:val="lowerRoman"/>
      <w:lvlText w:val="%6."/>
      <w:lvlJc w:val="right"/>
      <w:pPr>
        <w:ind w:left="3960" w:hanging="180"/>
      </w:pPr>
    </w:lvl>
    <w:lvl w:ilvl="6" w:tplc="429856A6" w:tentative="1">
      <w:start w:val="1"/>
      <w:numFmt w:val="decimal"/>
      <w:lvlText w:val="%7."/>
      <w:lvlJc w:val="left"/>
      <w:pPr>
        <w:ind w:left="4680" w:hanging="360"/>
      </w:pPr>
    </w:lvl>
    <w:lvl w:ilvl="7" w:tplc="79C61496" w:tentative="1">
      <w:start w:val="1"/>
      <w:numFmt w:val="lowerLetter"/>
      <w:lvlText w:val="%8."/>
      <w:lvlJc w:val="left"/>
      <w:pPr>
        <w:ind w:left="5400" w:hanging="360"/>
      </w:pPr>
    </w:lvl>
    <w:lvl w:ilvl="8" w:tplc="1E367B68" w:tentative="1">
      <w:start w:val="1"/>
      <w:numFmt w:val="lowerRoman"/>
      <w:lvlText w:val="%9."/>
      <w:lvlJc w:val="right"/>
      <w:pPr>
        <w:ind w:left="6120" w:hanging="180"/>
      </w:pPr>
    </w:lvl>
  </w:abstractNum>
  <w:abstractNum w:abstractNumId="25" w15:restartNumberingAfterBreak="0">
    <w:nsid w:val="65510FAC"/>
    <w:multiLevelType w:val="hybridMultilevel"/>
    <w:tmpl w:val="82380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FD05B81"/>
    <w:multiLevelType w:val="hybridMultilevel"/>
    <w:tmpl w:val="64F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60E99"/>
    <w:multiLevelType w:val="hybridMultilevel"/>
    <w:tmpl w:val="5CE06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2449D"/>
    <w:multiLevelType w:val="hybridMultilevel"/>
    <w:tmpl w:val="AC34DC68"/>
    <w:lvl w:ilvl="0" w:tplc="A79EE4E2">
      <w:start w:val="1"/>
      <w:numFmt w:val="bullet"/>
      <w:lvlText w:val=""/>
      <w:lvlJc w:val="left"/>
      <w:pPr>
        <w:ind w:left="3620" w:hanging="360"/>
      </w:pPr>
      <w:rPr>
        <w:rFonts w:ascii="Wingdings" w:hAnsi="Wingdings" w:hint="default"/>
      </w:rPr>
    </w:lvl>
    <w:lvl w:ilvl="1" w:tplc="2FB6E946">
      <w:start w:val="1"/>
      <w:numFmt w:val="bullet"/>
      <w:lvlText w:val="o"/>
      <w:lvlJc w:val="left"/>
      <w:pPr>
        <w:ind w:left="1080" w:hanging="360"/>
      </w:pPr>
      <w:rPr>
        <w:rFonts w:ascii="Courier New" w:hAnsi="Courier New" w:cs="Courier New" w:hint="default"/>
      </w:rPr>
    </w:lvl>
    <w:lvl w:ilvl="2" w:tplc="D9367C7A">
      <w:start w:val="1"/>
      <w:numFmt w:val="bullet"/>
      <w:lvlText w:val=""/>
      <w:lvlJc w:val="left"/>
      <w:pPr>
        <w:ind w:left="1800" w:hanging="360"/>
      </w:pPr>
      <w:rPr>
        <w:rFonts w:ascii="Wingdings" w:hAnsi="Wingdings" w:hint="default"/>
      </w:rPr>
    </w:lvl>
    <w:lvl w:ilvl="3" w:tplc="F202F8A6">
      <w:start w:val="1"/>
      <w:numFmt w:val="bullet"/>
      <w:lvlText w:val=""/>
      <w:lvlJc w:val="left"/>
      <w:pPr>
        <w:ind w:left="2520" w:hanging="360"/>
      </w:pPr>
      <w:rPr>
        <w:rFonts w:ascii="Symbol" w:hAnsi="Symbol" w:hint="default"/>
      </w:rPr>
    </w:lvl>
    <w:lvl w:ilvl="4" w:tplc="A1224002">
      <w:start w:val="1"/>
      <w:numFmt w:val="bullet"/>
      <w:lvlText w:val="o"/>
      <w:lvlJc w:val="left"/>
      <w:pPr>
        <w:ind w:left="3240" w:hanging="360"/>
      </w:pPr>
      <w:rPr>
        <w:rFonts w:ascii="Courier New" w:hAnsi="Courier New" w:cs="Courier New" w:hint="default"/>
      </w:rPr>
    </w:lvl>
    <w:lvl w:ilvl="5" w:tplc="22B83C62">
      <w:start w:val="1"/>
      <w:numFmt w:val="bullet"/>
      <w:lvlText w:val=""/>
      <w:lvlJc w:val="left"/>
      <w:pPr>
        <w:ind w:left="3960" w:hanging="360"/>
      </w:pPr>
      <w:rPr>
        <w:rFonts w:ascii="Wingdings" w:hAnsi="Wingdings" w:hint="default"/>
      </w:rPr>
    </w:lvl>
    <w:lvl w:ilvl="6" w:tplc="EF0060CC" w:tentative="1">
      <w:start w:val="1"/>
      <w:numFmt w:val="bullet"/>
      <w:lvlText w:val=""/>
      <w:lvlJc w:val="left"/>
      <w:pPr>
        <w:ind w:left="4680" w:hanging="360"/>
      </w:pPr>
      <w:rPr>
        <w:rFonts w:ascii="Symbol" w:hAnsi="Symbol" w:hint="default"/>
      </w:rPr>
    </w:lvl>
    <w:lvl w:ilvl="7" w:tplc="E9DC39BC" w:tentative="1">
      <w:start w:val="1"/>
      <w:numFmt w:val="bullet"/>
      <w:lvlText w:val="o"/>
      <w:lvlJc w:val="left"/>
      <w:pPr>
        <w:ind w:left="5400" w:hanging="360"/>
      </w:pPr>
      <w:rPr>
        <w:rFonts w:ascii="Courier New" w:hAnsi="Courier New" w:cs="Courier New" w:hint="default"/>
      </w:rPr>
    </w:lvl>
    <w:lvl w:ilvl="8" w:tplc="51FA7A98" w:tentative="1">
      <w:start w:val="1"/>
      <w:numFmt w:val="bullet"/>
      <w:lvlText w:val=""/>
      <w:lvlJc w:val="left"/>
      <w:pPr>
        <w:ind w:left="6120" w:hanging="360"/>
      </w:pPr>
      <w:rPr>
        <w:rFonts w:ascii="Wingdings" w:hAnsi="Wingdings" w:hint="default"/>
      </w:rPr>
    </w:lvl>
  </w:abstractNum>
  <w:abstractNum w:abstractNumId="29" w15:restartNumberingAfterBreak="0">
    <w:nsid w:val="73DC1D86"/>
    <w:multiLevelType w:val="hybridMultilevel"/>
    <w:tmpl w:val="980EC900"/>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94CE5"/>
    <w:multiLevelType w:val="hybridMultilevel"/>
    <w:tmpl w:val="4AA4F5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6045142"/>
    <w:multiLevelType w:val="hybridMultilevel"/>
    <w:tmpl w:val="9D16E8B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26AB6"/>
    <w:multiLevelType w:val="hybridMultilevel"/>
    <w:tmpl w:val="28DE2DBE"/>
    <w:lvl w:ilvl="0" w:tplc="45820C74">
      <w:numFmt w:val="bullet"/>
      <w:lvlText w:val=""/>
      <w:lvlJc w:val="left"/>
      <w:pPr>
        <w:ind w:left="1444" w:hanging="735"/>
      </w:pPr>
      <w:rPr>
        <w:rFonts w:ascii="Symbol" w:eastAsia="Times New Roman" w:hAnsi="Symbo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677031877">
    <w:abstractNumId w:val="12"/>
  </w:num>
  <w:num w:numId="2" w16cid:durableId="117651463">
    <w:abstractNumId w:val="5"/>
  </w:num>
  <w:num w:numId="3" w16cid:durableId="481123506">
    <w:abstractNumId w:val="10"/>
  </w:num>
  <w:num w:numId="4" w16cid:durableId="961350936">
    <w:abstractNumId w:val="29"/>
  </w:num>
  <w:num w:numId="5" w16cid:durableId="398019773">
    <w:abstractNumId w:val="13"/>
  </w:num>
  <w:num w:numId="6" w16cid:durableId="1163014276">
    <w:abstractNumId w:val="32"/>
  </w:num>
  <w:num w:numId="7" w16cid:durableId="2089186393">
    <w:abstractNumId w:val="23"/>
  </w:num>
  <w:num w:numId="8" w16cid:durableId="553779689">
    <w:abstractNumId w:val="20"/>
  </w:num>
  <w:num w:numId="9" w16cid:durableId="2041395462">
    <w:abstractNumId w:val="22"/>
  </w:num>
  <w:num w:numId="10" w16cid:durableId="1138764903">
    <w:abstractNumId w:val="27"/>
  </w:num>
  <w:num w:numId="11" w16cid:durableId="346911566">
    <w:abstractNumId w:val="9"/>
  </w:num>
  <w:num w:numId="12" w16cid:durableId="644625518">
    <w:abstractNumId w:val="2"/>
  </w:num>
  <w:num w:numId="13" w16cid:durableId="1814448095">
    <w:abstractNumId w:val="31"/>
  </w:num>
  <w:num w:numId="14" w16cid:durableId="1013000120">
    <w:abstractNumId w:val="11"/>
  </w:num>
  <w:num w:numId="15" w16cid:durableId="628901095">
    <w:abstractNumId w:val="30"/>
  </w:num>
  <w:num w:numId="16" w16cid:durableId="1142425404">
    <w:abstractNumId w:val="21"/>
  </w:num>
  <w:num w:numId="17" w16cid:durableId="2021273875">
    <w:abstractNumId w:val="8"/>
  </w:num>
  <w:num w:numId="18" w16cid:durableId="116800088">
    <w:abstractNumId w:val="6"/>
  </w:num>
  <w:num w:numId="19" w16cid:durableId="1899047036">
    <w:abstractNumId w:val="25"/>
  </w:num>
  <w:num w:numId="20" w16cid:durableId="546642484">
    <w:abstractNumId w:val="4"/>
  </w:num>
  <w:num w:numId="21" w16cid:durableId="454714541">
    <w:abstractNumId w:val="28"/>
  </w:num>
  <w:num w:numId="22" w16cid:durableId="1565138415">
    <w:abstractNumId w:val="17"/>
  </w:num>
  <w:num w:numId="23" w16cid:durableId="1094548496">
    <w:abstractNumId w:val="7"/>
  </w:num>
  <w:num w:numId="24" w16cid:durableId="748692289">
    <w:abstractNumId w:val="24"/>
  </w:num>
  <w:num w:numId="25" w16cid:durableId="1729256116">
    <w:abstractNumId w:val="3"/>
  </w:num>
  <w:num w:numId="26" w16cid:durableId="163866547">
    <w:abstractNumId w:val="19"/>
  </w:num>
  <w:num w:numId="27" w16cid:durableId="2089690193">
    <w:abstractNumId w:val="0"/>
  </w:num>
  <w:num w:numId="28" w16cid:durableId="800617564">
    <w:abstractNumId w:val="14"/>
  </w:num>
  <w:num w:numId="29" w16cid:durableId="840118137">
    <w:abstractNumId w:val="26"/>
  </w:num>
  <w:num w:numId="30" w16cid:durableId="875044073">
    <w:abstractNumId w:val="18"/>
  </w:num>
  <w:num w:numId="31" w16cid:durableId="1583105273">
    <w:abstractNumId w:val="15"/>
  </w:num>
  <w:num w:numId="32" w16cid:durableId="1486973631">
    <w:abstractNumId w:val="1"/>
  </w:num>
  <w:num w:numId="33" w16cid:durableId="12738540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76"/>
    <w:rsid w:val="0001755E"/>
    <w:rsid w:val="00037A86"/>
    <w:rsid w:val="00061EFA"/>
    <w:rsid w:val="00065860"/>
    <w:rsid w:val="00086BDB"/>
    <w:rsid w:val="000E11CC"/>
    <w:rsid w:val="000E5BDC"/>
    <w:rsid w:val="00103A95"/>
    <w:rsid w:val="0010674C"/>
    <w:rsid w:val="00111EFF"/>
    <w:rsid w:val="00115629"/>
    <w:rsid w:val="00116042"/>
    <w:rsid w:val="0014282D"/>
    <w:rsid w:val="00146F2A"/>
    <w:rsid w:val="001546D4"/>
    <w:rsid w:val="00163258"/>
    <w:rsid w:val="00173881"/>
    <w:rsid w:val="001903B3"/>
    <w:rsid w:val="001A27C5"/>
    <w:rsid w:val="001C686F"/>
    <w:rsid w:val="001D036C"/>
    <w:rsid w:val="001D698D"/>
    <w:rsid w:val="001E3644"/>
    <w:rsid w:val="00211C7D"/>
    <w:rsid w:val="0022545A"/>
    <w:rsid w:val="00237EB2"/>
    <w:rsid w:val="00242778"/>
    <w:rsid w:val="00271E08"/>
    <w:rsid w:val="002A3C05"/>
    <w:rsid w:val="002B68A5"/>
    <w:rsid w:val="002E6C07"/>
    <w:rsid w:val="00353307"/>
    <w:rsid w:val="00353F26"/>
    <w:rsid w:val="00371954"/>
    <w:rsid w:val="003826BA"/>
    <w:rsid w:val="0038508E"/>
    <w:rsid w:val="0039762E"/>
    <w:rsid w:val="003D6F7A"/>
    <w:rsid w:val="003F5E4F"/>
    <w:rsid w:val="0040274D"/>
    <w:rsid w:val="00403C95"/>
    <w:rsid w:val="00405962"/>
    <w:rsid w:val="00416210"/>
    <w:rsid w:val="004167A8"/>
    <w:rsid w:val="00420739"/>
    <w:rsid w:val="0042228E"/>
    <w:rsid w:val="0045551C"/>
    <w:rsid w:val="00463498"/>
    <w:rsid w:val="004658C5"/>
    <w:rsid w:val="00474281"/>
    <w:rsid w:val="0048769D"/>
    <w:rsid w:val="004C4A58"/>
    <w:rsid w:val="004E3E7A"/>
    <w:rsid w:val="004E67E6"/>
    <w:rsid w:val="005267DD"/>
    <w:rsid w:val="0053158E"/>
    <w:rsid w:val="00544257"/>
    <w:rsid w:val="005524D0"/>
    <w:rsid w:val="0056416E"/>
    <w:rsid w:val="00576254"/>
    <w:rsid w:val="00576394"/>
    <w:rsid w:val="00592FB8"/>
    <w:rsid w:val="005D5DE0"/>
    <w:rsid w:val="00622804"/>
    <w:rsid w:val="00630A87"/>
    <w:rsid w:val="00651085"/>
    <w:rsid w:val="006824F2"/>
    <w:rsid w:val="0068566F"/>
    <w:rsid w:val="006A2A76"/>
    <w:rsid w:val="006E6596"/>
    <w:rsid w:val="006F6A02"/>
    <w:rsid w:val="00704904"/>
    <w:rsid w:val="00705CB3"/>
    <w:rsid w:val="0072056C"/>
    <w:rsid w:val="00732B1A"/>
    <w:rsid w:val="0074569F"/>
    <w:rsid w:val="00766D79"/>
    <w:rsid w:val="00770026"/>
    <w:rsid w:val="00773C16"/>
    <w:rsid w:val="00775D8D"/>
    <w:rsid w:val="00792290"/>
    <w:rsid w:val="007B1B74"/>
    <w:rsid w:val="007C501C"/>
    <w:rsid w:val="007C670D"/>
    <w:rsid w:val="007E27D2"/>
    <w:rsid w:val="007F14F0"/>
    <w:rsid w:val="007F1D4F"/>
    <w:rsid w:val="007F4BAC"/>
    <w:rsid w:val="008065CD"/>
    <w:rsid w:val="00807623"/>
    <w:rsid w:val="00817949"/>
    <w:rsid w:val="00832247"/>
    <w:rsid w:val="00835FB2"/>
    <w:rsid w:val="008B1433"/>
    <w:rsid w:val="008D3C12"/>
    <w:rsid w:val="008E6774"/>
    <w:rsid w:val="008F0010"/>
    <w:rsid w:val="008F5F0F"/>
    <w:rsid w:val="0090143A"/>
    <w:rsid w:val="00904E14"/>
    <w:rsid w:val="00913FA5"/>
    <w:rsid w:val="009221F4"/>
    <w:rsid w:val="009377B4"/>
    <w:rsid w:val="009458CF"/>
    <w:rsid w:val="00945BD0"/>
    <w:rsid w:val="00947FD7"/>
    <w:rsid w:val="0096294B"/>
    <w:rsid w:val="009663DD"/>
    <w:rsid w:val="00974CD8"/>
    <w:rsid w:val="0097519D"/>
    <w:rsid w:val="009809CE"/>
    <w:rsid w:val="009C2E8B"/>
    <w:rsid w:val="009F6289"/>
    <w:rsid w:val="009F7B96"/>
    <w:rsid w:val="00A03DB4"/>
    <w:rsid w:val="00A37FFB"/>
    <w:rsid w:val="00A53987"/>
    <w:rsid w:val="00A66F06"/>
    <w:rsid w:val="00A8716B"/>
    <w:rsid w:val="00AB204D"/>
    <w:rsid w:val="00AC1698"/>
    <w:rsid w:val="00AE0E7F"/>
    <w:rsid w:val="00AE1631"/>
    <w:rsid w:val="00AE4271"/>
    <w:rsid w:val="00AF600E"/>
    <w:rsid w:val="00B3456F"/>
    <w:rsid w:val="00B45378"/>
    <w:rsid w:val="00B7379D"/>
    <w:rsid w:val="00B83992"/>
    <w:rsid w:val="00B83FBB"/>
    <w:rsid w:val="00B84550"/>
    <w:rsid w:val="00B84BE5"/>
    <w:rsid w:val="00B87DC6"/>
    <w:rsid w:val="00B87F90"/>
    <w:rsid w:val="00BB19B7"/>
    <w:rsid w:val="00BC00A7"/>
    <w:rsid w:val="00BE5B76"/>
    <w:rsid w:val="00BF1FD6"/>
    <w:rsid w:val="00C0717A"/>
    <w:rsid w:val="00C14DE2"/>
    <w:rsid w:val="00C21E7E"/>
    <w:rsid w:val="00C2716C"/>
    <w:rsid w:val="00C30AFF"/>
    <w:rsid w:val="00C3799F"/>
    <w:rsid w:val="00C6168F"/>
    <w:rsid w:val="00C66D21"/>
    <w:rsid w:val="00C84F68"/>
    <w:rsid w:val="00C9106E"/>
    <w:rsid w:val="00C9599B"/>
    <w:rsid w:val="00CA2418"/>
    <w:rsid w:val="00CA29E8"/>
    <w:rsid w:val="00CF079A"/>
    <w:rsid w:val="00D0594E"/>
    <w:rsid w:val="00D06904"/>
    <w:rsid w:val="00D07F0A"/>
    <w:rsid w:val="00D172DC"/>
    <w:rsid w:val="00D23F3F"/>
    <w:rsid w:val="00D337ED"/>
    <w:rsid w:val="00D342FB"/>
    <w:rsid w:val="00D36948"/>
    <w:rsid w:val="00D66BE4"/>
    <w:rsid w:val="00D67318"/>
    <w:rsid w:val="00D75836"/>
    <w:rsid w:val="00DC3923"/>
    <w:rsid w:val="00DF1AD7"/>
    <w:rsid w:val="00DF5166"/>
    <w:rsid w:val="00DF7DEB"/>
    <w:rsid w:val="00E104CC"/>
    <w:rsid w:val="00E2262D"/>
    <w:rsid w:val="00E22C13"/>
    <w:rsid w:val="00E375CA"/>
    <w:rsid w:val="00E62802"/>
    <w:rsid w:val="00E7201A"/>
    <w:rsid w:val="00E84C1F"/>
    <w:rsid w:val="00EE1D84"/>
    <w:rsid w:val="00EE5405"/>
    <w:rsid w:val="00F13478"/>
    <w:rsid w:val="00F20B4F"/>
    <w:rsid w:val="00F23C01"/>
    <w:rsid w:val="00F36D33"/>
    <w:rsid w:val="00F70D08"/>
    <w:rsid w:val="00F74F93"/>
    <w:rsid w:val="00FE02F7"/>
    <w:rsid w:val="00FF06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0D212"/>
  <w15:docId w15:val="{806A026A-AA2E-41E0-8119-D744340B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color w:val="000000" w:themeColor="text1"/>
        <w:sz w:val="22"/>
        <w:szCs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76"/>
    <w:pPr>
      <w:spacing w:after="200" w:line="276" w:lineRule="auto"/>
      <w:jc w:val="left"/>
    </w:pPr>
    <w:rPr>
      <w:rFonts w:ascii="Calibri" w:eastAsia="Calibri" w:hAnsi="Calibri"/>
      <w:color w:val="auto"/>
      <w:lang w:val="en-US"/>
    </w:rPr>
  </w:style>
  <w:style w:type="paragraph" w:styleId="Heading1">
    <w:name w:val="heading 1"/>
    <w:basedOn w:val="Normal"/>
    <w:next w:val="Normal"/>
    <w:link w:val="Heading1Char"/>
    <w:uiPriority w:val="9"/>
    <w:qFormat/>
    <w:rsid w:val="00237EB2"/>
    <w:pPr>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qFormat/>
    <w:rsid w:val="00237EB2"/>
    <w:pPr>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qFormat/>
    <w:rsid w:val="00237EB2"/>
    <w:pPr>
      <w:outlineLvl w:val="2"/>
    </w:pPr>
    <w:rPr>
      <w:rFonts w:eastAsiaTheme="majorEastAsia" w:cstheme="majorBidi"/>
      <w:bCs/>
      <w:color w:val="000000" w:themeColor="text1"/>
    </w:rPr>
  </w:style>
  <w:style w:type="paragraph" w:styleId="Heading4">
    <w:name w:val="heading 4"/>
    <w:basedOn w:val="Normal"/>
    <w:next w:val="Normal"/>
    <w:link w:val="Heading4Char"/>
    <w:uiPriority w:val="9"/>
    <w:qFormat/>
    <w:rsid w:val="00237EB2"/>
    <w:pPr>
      <w:outlineLvl w:val="3"/>
    </w:pPr>
    <w:rPr>
      <w:rFonts w:eastAsiaTheme="majorEastAsia" w:cstheme="majorBidi"/>
      <w:bCs/>
      <w:iCs/>
      <w:color w:val="000000" w:themeColor="text1"/>
    </w:rPr>
  </w:style>
  <w:style w:type="paragraph" w:styleId="Heading5">
    <w:name w:val="heading 5"/>
    <w:aliases w:val="Bullet Points"/>
    <w:basedOn w:val="Normal"/>
    <w:next w:val="Normal"/>
    <w:link w:val="Heading5Char"/>
    <w:uiPriority w:val="9"/>
    <w:qFormat/>
    <w:rsid w:val="00237EB2"/>
    <w:pPr>
      <w:outlineLvl w:val="4"/>
    </w:pPr>
    <w:rPr>
      <w:rFonts w:eastAsiaTheme="majorEastAsia" w:cstheme="majorBidi"/>
      <w:color w:val="000000" w:themeColor="text1"/>
    </w:rPr>
  </w:style>
  <w:style w:type="paragraph" w:styleId="Heading6">
    <w:name w:val="heading 6"/>
    <w:aliases w:val="Lettering"/>
    <w:basedOn w:val="Normal"/>
    <w:next w:val="Normal"/>
    <w:link w:val="Heading6Char"/>
    <w:uiPriority w:val="9"/>
    <w:qFormat/>
    <w:rsid w:val="00237EB2"/>
    <w:pPr>
      <w:outlineLvl w:val="5"/>
    </w:pPr>
    <w:rPr>
      <w:rFonts w:eastAsiaTheme="majorEastAsia" w:cstheme="majorBidi"/>
      <w:iCs/>
      <w:color w:val="000000" w:themeColor="text1"/>
    </w:rPr>
  </w:style>
  <w:style w:type="paragraph" w:styleId="Heading7">
    <w:name w:val="heading 7"/>
    <w:basedOn w:val="Normal"/>
    <w:next w:val="Normal"/>
    <w:link w:val="Heading7Char"/>
    <w:uiPriority w:val="9"/>
    <w:qFormat/>
    <w:rsid w:val="00237EB2"/>
    <w:pPr>
      <w:outlineLvl w:val="6"/>
    </w:pPr>
    <w:rPr>
      <w:rFonts w:eastAsiaTheme="majorEastAsia" w:cstheme="majorBidi"/>
      <w:iCs/>
      <w:color w:val="000000" w:themeColor="text1"/>
    </w:rPr>
  </w:style>
  <w:style w:type="paragraph" w:styleId="Heading8">
    <w:name w:val="heading 8"/>
    <w:basedOn w:val="Normal"/>
    <w:next w:val="Normal"/>
    <w:link w:val="Heading8Char"/>
    <w:uiPriority w:val="9"/>
    <w:qFormat/>
    <w:rsid w:val="00237EB2"/>
    <w:pPr>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qFormat/>
    <w:rsid w:val="00237EB2"/>
    <w:pPr>
      <w:outlineLvl w:val="8"/>
    </w:pPr>
    <w:rPr>
      <w:rFonts w:eastAsiaTheme="majorEastAsia" w:cstheme="majorBidi"/>
      <w:iCs/>
      <w:color w:val="000000" w:themeColor="text1"/>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87"/>
    <w:rPr>
      <w:rFonts w:eastAsiaTheme="majorEastAsia" w:cstheme="majorBidi"/>
      <w:bCs/>
      <w:szCs w:val="28"/>
    </w:rPr>
  </w:style>
  <w:style w:type="character" w:customStyle="1" w:styleId="Heading2Char">
    <w:name w:val="Heading 2 Char"/>
    <w:basedOn w:val="DefaultParagraphFont"/>
    <w:link w:val="Heading2"/>
    <w:uiPriority w:val="9"/>
    <w:rsid w:val="00E22C13"/>
    <w:rPr>
      <w:rFonts w:eastAsiaTheme="majorEastAsia" w:cstheme="majorBidi"/>
      <w:bCs/>
      <w:szCs w:val="26"/>
    </w:rPr>
  </w:style>
  <w:style w:type="character" w:customStyle="1" w:styleId="Heading3Char">
    <w:name w:val="Heading 3 Char"/>
    <w:basedOn w:val="DefaultParagraphFont"/>
    <w:link w:val="Heading3"/>
    <w:uiPriority w:val="9"/>
    <w:rsid w:val="00E22C13"/>
    <w:rPr>
      <w:rFonts w:eastAsiaTheme="majorEastAsia" w:cstheme="majorBidi"/>
      <w:bCs/>
    </w:rPr>
  </w:style>
  <w:style w:type="character" w:customStyle="1" w:styleId="Heading4Char">
    <w:name w:val="Heading 4 Char"/>
    <w:basedOn w:val="DefaultParagraphFont"/>
    <w:link w:val="Heading4"/>
    <w:uiPriority w:val="9"/>
    <w:rsid w:val="00E22C13"/>
    <w:rPr>
      <w:rFonts w:eastAsiaTheme="majorEastAsia" w:cstheme="majorBidi"/>
      <w:bCs/>
      <w:iCs/>
    </w:rPr>
  </w:style>
  <w:style w:type="character" w:customStyle="1" w:styleId="Heading5Char">
    <w:name w:val="Heading 5 Char"/>
    <w:aliases w:val="Bullet Points Char"/>
    <w:basedOn w:val="DefaultParagraphFont"/>
    <w:link w:val="Heading5"/>
    <w:uiPriority w:val="9"/>
    <w:rsid w:val="00E22C13"/>
    <w:rPr>
      <w:rFonts w:eastAsiaTheme="majorEastAsia" w:cstheme="majorBidi"/>
    </w:rPr>
  </w:style>
  <w:style w:type="character" w:customStyle="1" w:styleId="Heading6Char">
    <w:name w:val="Heading 6 Char"/>
    <w:aliases w:val="Lettering Char"/>
    <w:basedOn w:val="DefaultParagraphFont"/>
    <w:link w:val="Heading6"/>
    <w:uiPriority w:val="9"/>
    <w:rsid w:val="00E22C13"/>
    <w:rPr>
      <w:rFonts w:eastAsiaTheme="majorEastAsia" w:cstheme="majorBidi"/>
      <w:iCs/>
    </w:rPr>
  </w:style>
  <w:style w:type="character" w:customStyle="1" w:styleId="Heading7Char">
    <w:name w:val="Heading 7 Char"/>
    <w:basedOn w:val="DefaultParagraphFont"/>
    <w:link w:val="Heading7"/>
    <w:uiPriority w:val="9"/>
    <w:rsid w:val="00E22C13"/>
    <w:rPr>
      <w:rFonts w:eastAsiaTheme="majorEastAsia" w:cstheme="majorBidi"/>
      <w:iCs/>
    </w:rPr>
  </w:style>
  <w:style w:type="character" w:customStyle="1" w:styleId="Heading8Char">
    <w:name w:val="Heading 8 Char"/>
    <w:basedOn w:val="DefaultParagraphFont"/>
    <w:link w:val="Heading8"/>
    <w:uiPriority w:val="9"/>
    <w:rsid w:val="00E22C13"/>
    <w:rPr>
      <w:rFonts w:eastAsiaTheme="majorEastAsia" w:cstheme="majorBidi"/>
      <w:szCs w:val="20"/>
    </w:rPr>
  </w:style>
  <w:style w:type="character" w:customStyle="1" w:styleId="Heading9Char">
    <w:name w:val="Heading 9 Char"/>
    <w:basedOn w:val="DefaultParagraphFont"/>
    <w:link w:val="Heading9"/>
    <w:uiPriority w:val="9"/>
    <w:rsid w:val="00E22C13"/>
    <w:rPr>
      <w:rFonts w:eastAsiaTheme="majorEastAsia" w:cstheme="majorBidi"/>
      <w:iCs/>
      <w:szCs w:val="20"/>
    </w:rPr>
  </w:style>
  <w:style w:type="paragraph" w:styleId="Quote">
    <w:name w:val="Quote"/>
    <w:basedOn w:val="Normal"/>
    <w:next w:val="Normal"/>
    <w:link w:val="QuoteChar"/>
    <w:uiPriority w:val="29"/>
    <w:qFormat/>
    <w:rsid w:val="00237EB2"/>
    <w:pPr>
      <w:ind w:left="1440" w:right="1440"/>
    </w:pPr>
    <w:rPr>
      <w:i/>
      <w:iCs/>
      <w:color w:val="000000" w:themeColor="text1"/>
      <w:sz w:val="20"/>
    </w:rPr>
  </w:style>
  <w:style w:type="character" w:customStyle="1" w:styleId="QuoteChar">
    <w:name w:val="Quote Char"/>
    <w:basedOn w:val="DefaultParagraphFont"/>
    <w:link w:val="Quote"/>
    <w:uiPriority w:val="29"/>
    <w:rsid w:val="00E22C13"/>
    <w:rPr>
      <w:rFonts w:cstheme="minorBidi"/>
      <w:i/>
      <w:iCs/>
      <w:sz w:val="20"/>
    </w:rPr>
  </w:style>
  <w:style w:type="paragraph" w:styleId="Title">
    <w:name w:val="Title"/>
    <w:basedOn w:val="Normal"/>
    <w:link w:val="TitleChar"/>
    <w:uiPriority w:val="10"/>
    <w:semiHidden/>
    <w:qFormat/>
    <w:rsid w:val="0010674C"/>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semiHidden/>
    <w:rsid w:val="00E22C13"/>
    <w:rPr>
      <w:rFonts w:eastAsiaTheme="majorEastAsia" w:cstheme="majorBidi"/>
      <w:b/>
      <w:color w:val="auto"/>
      <w:spacing w:val="5"/>
      <w:kern w:val="28"/>
      <w:sz w:val="32"/>
      <w:szCs w:val="52"/>
    </w:rPr>
  </w:style>
  <w:style w:type="paragraph" w:styleId="Subtitle">
    <w:name w:val="Subtitle"/>
    <w:basedOn w:val="Normal"/>
    <w:next w:val="Normal"/>
    <w:link w:val="SubtitleChar"/>
    <w:uiPriority w:val="11"/>
    <w:semiHidden/>
    <w:qFormat/>
    <w:rsid w:val="001067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22C13"/>
    <w:rPr>
      <w:rFonts w:asciiTheme="majorHAnsi" w:eastAsiaTheme="majorEastAsia" w:hAnsiTheme="majorHAnsi" w:cstheme="majorBidi"/>
      <w:i/>
      <w:iCs/>
      <w:color w:val="4F81BD" w:themeColor="accent1"/>
      <w:spacing w:val="15"/>
      <w:sz w:val="24"/>
      <w:szCs w:val="24"/>
    </w:rPr>
  </w:style>
  <w:style w:type="character" w:styleId="Strong">
    <w:name w:val="Strong"/>
    <w:uiPriority w:val="22"/>
    <w:semiHidden/>
    <w:qFormat/>
    <w:rsid w:val="0010674C"/>
    <w:rPr>
      <w:b/>
      <w:bCs/>
    </w:rPr>
  </w:style>
  <w:style w:type="character" w:styleId="Emphasis">
    <w:name w:val="Emphasis"/>
    <w:uiPriority w:val="20"/>
    <w:semiHidden/>
    <w:qFormat/>
    <w:rsid w:val="0010674C"/>
    <w:rPr>
      <w:i/>
      <w:iCs/>
    </w:rPr>
  </w:style>
  <w:style w:type="paragraph" w:styleId="NoSpacing">
    <w:name w:val="No Spacing"/>
    <w:basedOn w:val="Normal"/>
    <w:uiPriority w:val="1"/>
    <w:qFormat/>
    <w:rsid w:val="0010674C"/>
  </w:style>
  <w:style w:type="paragraph" w:styleId="ListParagraph">
    <w:name w:val="List Paragraph"/>
    <w:basedOn w:val="Normal"/>
    <w:uiPriority w:val="34"/>
    <w:qFormat/>
    <w:rsid w:val="0010674C"/>
    <w:pPr>
      <w:ind w:left="720"/>
      <w:contextualSpacing/>
    </w:pPr>
  </w:style>
  <w:style w:type="paragraph" w:styleId="IntenseQuote">
    <w:name w:val="Intense Quote"/>
    <w:basedOn w:val="Normal"/>
    <w:next w:val="Normal"/>
    <w:link w:val="IntenseQuoteChar"/>
    <w:uiPriority w:val="30"/>
    <w:semiHidden/>
    <w:qFormat/>
    <w:rsid w:val="001067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22C13"/>
    <w:rPr>
      <w:b/>
      <w:bCs/>
      <w:i/>
      <w:iCs/>
      <w:color w:val="4F81BD" w:themeColor="accent1"/>
    </w:rPr>
  </w:style>
  <w:style w:type="character" w:styleId="SubtleEmphasis">
    <w:name w:val="Subtle Emphasis"/>
    <w:uiPriority w:val="19"/>
    <w:semiHidden/>
    <w:qFormat/>
    <w:rsid w:val="0010674C"/>
    <w:rPr>
      <w:i/>
      <w:iCs/>
      <w:color w:val="808080" w:themeColor="text1" w:themeTint="7F"/>
    </w:rPr>
  </w:style>
  <w:style w:type="character" w:styleId="SubtleReference">
    <w:name w:val="Subtle Reference"/>
    <w:uiPriority w:val="31"/>
    <w:semiHidden/>
    <w:qFormat/>
    <w:rsid w:val="0010674C"/>
    <w:rPr>
      <w:smallCaps/>
      <w:color w:val="C0504D" w:themeColor="accent2"/>
      <w:u w:val="single"/>
    </w:rPr>
  </w:style>
  <w:style w:type="character" w:styleId="IntenseReference">
    <w:name w:val="Intense Reference"/>
    <w:uiPriority w:val="32"/>
    <w:semiHidden/>
    <w:qFormat/>
    <w:rsid w:val="0010674C"/>
    <w:rPr>
      <w:b/>
      <w:bCs/>
      <w:smallCaps/>
      <w:color w:val="C0504D" w:themeColor="accent2"/>
      <w:spacing w:val="5"/>
      <w:u w:val="single"/>
    </w:rPr>
  </w:style>
  <w:style w:type="character" w:styleId="BookTitle">
    <w:name w:val="Book Title"/>
    <w:uiPriority w:val="33"/>
    <w:semiHidden/>
    <w:qFormat/>
    <w:rsid w:val="0010674C"/>
    <w:rPr>
      <w:b/>
      <w:bCs/>
      <w:smallCaps/>
      <w:spacing w:val="5"/>
    </w:rPr>
  </w:style>
  <w:style w:type="paragraph" w:styleId="TOCHeading">
    <w:name w:val="TOC Heading"/>
    <w:basedOn w:val="Heading1"/>
    <w:next w:val="Normal"/>
    <w:uiPriority w:val="39"/>
    <w:semiHidden/>
    <w:unhideWhenUsed/>
    <w:qFormat/>
    <w:rsid w:val="0010674C"/>
    <w:pPr>
      <w:keepNext/>
      <w:keepLines/>
      <w:spacing w:before="480"/>
      <w:outlineLvl w:val="9"/>
    </w:pPr>
    <w:rPr>
      <w:rFonts w:asciiTheme="majorHAnsi" w:hAnsiTheme="majorHAnsi"/>
      <w:b/>
      <w:color w:val="365F91" w:themeColor="accent1" w:themeShade="BF"/>
      <w:sz w:val="28"/>
    </w:rPr>
  </w:style>
  <w:style w:type="paragraph" w:styleId="BalloonText">
    <w:name w:val="Balloon Text"/>
    <w:basedOn w:val="Normal"/>
    <w:link w:val="BalloonTextChar"/>
    <w:uiPriority w:val="99"/>
    <w:semiHidden/>
    <w:unhideWhenUsed/>
    <w:rsid w:val="00237EB2"/>
    <w:rPr>
      <w:rFonts w:ascii="Tahoma" w:hAnsi="Tahoma" w:cs="Tahoma"/>
      <w:sz w:val="16"/>
      <w:szCs w:val="16"/>
    </w:rPr>
  </w:style>
  <w:style w:type="character" w:customStyle="1" w:styleId="BalloonTextChar">
    <w:name w:val="Balloon Text Char"/>
    <w:basedOn w:val="DefaultParagraphFont"/>
    <w:link w:val="BalloonText"/>
    <w:uiPriority w:val="99"/>
    <w:semiHidden/>
    <w:rsid w:val="00237EB2"/>
    <w:rPr>
      <w:rFonts w:ascii="Tahoma" w:hAnsi="Tahoma" w:cs="Tahoma"/>
      <w:color w:val="auto"/>
      <w:sz w:val="16"/>
      <w:szCs w:val="16"/>
    </w:rPr>
  </w:style>
  <w:style w:type="paragraph" w:styleId="Header">
    <w:name w:val="header"/>
    <w:basedOn w:val="Normal"/>
    <w:link w:val="HeaderChar"/>
    <w:uiPriority w:val="99"/>
    <w:unhideWhenUsed/>
    <w:rsid w:val="006A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76"/>
    <w:rPr>
      <w:rFonts w:ascii="Calibri" w:eastAsia="Calibri" w:hAnsi="Calibri"/>
      <w:color w:val="auto"/>
      <w:lang w:val="en-US"/>
    </w:rPr>
  </w:style>
  <w:style w:type="paragraph" w:styleId="Footer">
    <w:name w:val="footer"/>
    <w:basedOn w:val="Normal"/>
    <w:link w:val="FooterChar"/>
    <w:uiPriority w:val="99"/>
    <w:unhideWhenUsed/>
    <w:rsid w:val="006A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76"/>
    <w:rPr>
      <w:rFonts w:ascii="Calibri" w:eastAsia="Calibri" w:hAnsi="Calibri"/>
      <w:color w:val="auto"/>
      <w:lang w:val="en-US"/>
    </w:rPr>
  </w:style>
  <w:style w:type="paragraph" w:customStyle="1" w:styleId="DefaultText">
    <w:name w:val="Default Text"/>
    <w:basedOn w:val="Normal"/>
    <w:rsid w:val="006A2A7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styleId="CommentReference">
    <w:name w:val="annotation reference"/>
    <w:uiPriority w:val="99"/>
    <w:semiHidden/>
    <w:unhideWhenUsed/>
    <w:rsid w:val="006A2A76"/>
    <w:rPr>
      <w:sz w:val="16"/>
      <w:szCs w:val="16"/>
    </w:rPr>
  </w:style>
  <w:style w:type="paragraph" w:styleId="CommentText">
    <w:name w:val="annotation text"/>
    <w:basedOn w:val="Normal"/>
    <w:link w:val="CommentTextChar"/>
    <w:uiPriority w:val="99"/>
    <w:semiHidden/>
    <w:unhideWhenUsed/>
    <w:rsid w:val="006A2A76"/>
    <w:rPr>
      <w:sz w:val="20"/>
      <w:szCs w:val="20"/>
    </w:rPr>
  </w:style>
  <w:style w:type="character" w:customStyle="1" w:styleId="CommentTextChar">
    <w:name w:val="Comment Text Char"/>
    <w:basedOn w:val="DefaultParagraphFont"/>
    <w:link w:val="CommentText"/>
    <w:uiPriority w:val="99"/>
    <w:semiHidden/>
    <w:rsid w:val="006A2A76"/>
    <w:rPr>
      <w:rFonts w:ascii="Calibri" w:eastAsia="Calibri" w:hAnsi="Calibri"/>
      <w:color w:val="auto"/>
      <w:sz w:val="20"/>
      <w:szCs w:val="20"/>
      <w:lang w:val="en-US"/>
    </w:rPr>
  </w:style>
  <w:style w:type="paragraph" w:customStyle="1" w:styleId="tab1">
    <w:name w:val="tab 1"/>
    <w:basedOn w:val="ListParagraph"/>
    <w:qFormat/>
    <w:rsid w:val="006A2A76"/>
    <w:pPr>
      <w:numPr>
        <w:numId w:val="7"/>
      </w:numPr>
      <w:tabs>
        <w:tab w:val="num" w:pos="360"/>
      </w:tabs>
      <w:ind w:left="567" w:hanging="567"/>
    </w:pPr>
    <w:rPr>
      <w:rFonts w:ascii="Arial" w:eastAsia="Times New Roman" w:hAnsi="Arial" w:cs="Arial"/>
      <w:b/>
      <w:lang w:val="en-ZA" w:bidi="en-US"/>
    </w:rPr>
  </w:style>
  <w:style w:type="paragraph" w:customStyle="1" w:styleId="tab2">
    <w:name w:val="tab 2"/>
    <w:basedOn w:val="ListParagraph"/>
    <w:link w:val="tab2Char"/>
    <w:qFormat/>
    <w:rsid w:val="006A2A76"/>
    <w:pPr>
      <w:numPr>
        <w:ilvl w:val="1"/>
        <w:numId w:val="7"/>
      </w:numPr>
      <w:ind w:left="1418" w:hanging="851"/>
    </w:pPr>
    <w:rPr>
      <w:rFonts w:ascii="Arial" w:eastAsia="Times New Roman" w:hAnsi="Arial" w:cs="Arial"/>
      <w:lang w:val="en-ZA" w:bidi="en-US"/>
    </w:rPr>
  </w:style>
  <w:style w:type="paragraph" w:customStyle="1" w:styleId="tab3">
    <w:name w:val="tab 3"/>
    <w:basedOn w:val="ListParagraph"/>
    <w:qFormat/>
    <w:rsid w:val="006A2A76"/>
    <w:pPr>
      <w:numPr>
        <w:ilvl w:val="2"/>
        <w:numId w:val="7"/>
      </w:numPr>
      <w:tabs>
        <w:tab w:val="left" w:pos="2268"/>
      </w:tabs>
    </w:pPr>
    <w:rPr>
      <w:rFonts w:ascii="Arial" w:eastAsia="Times New Roman" w:hAnsi="Arial" w:cs="Arial"/>
      <w:lang w:val="en-ZA" w:bidi="en-US"/>
    </w:rPr>
  </w:style>
  <w:style w:type="character" w:customStyle="1" w:styleId="tab2Char">
    <w:name w:val="tab 2 Char"/>
    <w:link w:val="tab2"/>
    <w:rsid w:val="006A2A76"/>
    <w:rPr>
      <w:rFonts w:ascii="Arial" w:eastAsia="Times New Roman" w:hAnsi="Arial" w:cs="Arial"/>
      <w:color w:val="auto"/>
      <w:lang w:val="en-ZA" w:bidi="en-US"/>
    </w:rPr>
  </w:style>
  <w:style w:type="paragraph" w:customStyle="1" w:styleId="tab4">
    <w:name w:val="tab 4"/>
    <w:basedOn w:val="ListParagraph"/>
    <w:qFormat/>
    <w:rsid w:val="006A2A76"/>
    <w:pPr>
      <w:numPr>
        <w:ilvl w:val="3"/>
        <w:numId w:val="7"/>
      </w:numPr>
      <w:tabs>
        <w:tab w:val="num" w:pos="360"/>
        <w:tab w:val="left" w:pos="3402"/>
      </w:tabs>
      <w:ind w:left="3402" w:hanging="1134"/>
    </w:pPr>
    <w:rPr>
      <w:rFonts w:ascii="Arial" w:eastAsia="Times New Roman" w:hAnsi="Arial" w:cs="Arial"/>
      <w:lang w:val="en-ZA" w:bidi="en-US"/>
    </w:rPr>
  </w:style>
  <w:style w:type="paragraph" w:customStyle="1" w:styleId="tab5">
    <w:name w:val="tab 5"/>
    <w:basedOn w:val="tab4"/>
    <w:qFormat/>
    <w:rsid w:val="006A2A76"/>
    <w:pPr>
      <w:numPr>
        <w:ilvl w:val="4"/>
      </w:numPr>
      <w:tabs>
        <w:tab w:val="num" w:pos="360"/>
      </w:tabs>
      <w:ind w:left="4536" w:hanging="1134"/>
    </w:pPr>
  </w:style>
  <w:style w:type="character" w:styleId="Hyperlink">
    <w:name w:val="Hyperlink"/>
    <w:basedOn w:val="DefaultParagraphFont"/>
    <w:uiPriority w:val="99"/>
    <w:unhideWhenUsed/>
    <w:rsid w:val="00420739"/>
    <w:rPr>
      <w:color w:val="0000FF" w:themeColor="hyperlink"/>
      <w:u w:val="single"/>
    </w:rPr>
  </w:style>
  <w:style w:type="character" w:styleId="FollowedHyperlink">
    <w:name w:val="FollowedHyperlink"/>
    <w:basedOn w:val="DefaultParagraphFont"/>
    <w:uiPriority w:val="99"/>
    <w:semiHidden/>
    <w:unhideWhenUsed/>
    <w:rsid w:val="00420739"/>
    <w:rPr>
      <w:color w:val="800080" w:themeColor="followedHyperlink"/>
      <w:u w:val="single"/>
    </w:rPr>
  </w:style>
  <w:style w:type="paragraph" w:styleId="NormalWeb">
    <w:name w:val="Normal (Web)"/>
    <w:basedOn w:val="Normal"/>
    <w:uiPriority w:val="99"/>
    <w:semiHidden/>
    <w:unhideWhenUsed/>
    <w:rsid w:val="00A53987"/>
    <w:pPr>
      <w:spacing w:after="225" w:line="390" w:lineRule="atLeast"/>
    </w:pPr>
    <w:rPr>
      <w:rFonts w:ascii="Times New Roman" w:eastAsia="Times New Roman" w:hAnsi="Times New Roman"/>
      <w:sz w:val="24"/>
      <w:szCs w:val="24"/>
      <w:lang w:val="en-CA" w:eastAsia="en-CA"/>
    </w:rPr>
  </w:style>
  <w:style w:type="table" w:styleId="TableGrid">
    <w:name w:val="Table Grid"/>
    <w:basedOn w:val="TableNormal"/>
    <w:uiPriority w:val="59"/>
    <w:rsid w:val="00E8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716B"/>
    <w:pPr>
      <w:autoSpaceDE w:val="0"/>
      <w:autoSpaceDN w:val="0"/>
      <w:adjustRightInd w:val="0"/>
      <w:jc w:val="left"/>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555">
      <w:bodyDiv w:val="1"/>
      <w:marLeft w:val="0"/>
      <w:marRight w:val="0"/>
      <w:marTop w:val="0"/>
      <w:marBottom w:val="0"/>
      <w:divBdr>
        <w:top w:val="none" w:sz="0" w:space="0" w:color="auto"/>
        <w:left w:val="none" w:sz="0" w:space="0" w:color="auto"/>
        <w:bottom w:val="none" w:sz="0" w:space="0" w:color="auto"/>
        <w:right w:val="none" w:sz="0" w:space="0" w:color="auto"/>
      </w:divBdr>
      <w:divsChild>
        <w:div w:id="1464694572">
          <w:marLeft w:val="0"/>
          <w:marRight w:val="0"/>
          <w:marTop w:val="0"/>
          <w:marBottom w:val="0"/>
          <w:divBdr>
            <w:top w:val="none" w:sz="0" w:space="0" w:color="auto"/>
            <w:left w:val="none" w:sz="0" w:space="0" w:color="auto"/>
            <w:bottom w:val="none" w:sz="0" w:space="0" w:color="auto"/>
            <w:right w:val="none" w:sz="0" w:space="0" w:color="auto"/>
          </w:divBdr>
          <w:divsChild>
            <w:div w:id="1401439766">
              <w:marLeft w:val="0"/>
              <w:marRight w:val="0"/>
              <w:marTop w:val="0"/>
              <w:marBottom w:val="0"/>
              <w:divBdr>
                <w:top w:val="none" w:sz="0" w:space="0" w:color="auto"/>
                <w:left w:val="none" w:sz="0" w:space="0" w:color="auto"/>
                <w:bottom w:val="none" w:sz="0" w:space="0" w:color="auto"/>
                <w:right w:val="none" w:sz="0" w:space="0" w:color="auto"/>
              </w:divBdr>
              <w:divsChild>
                <w:div w:id="1681393566">
                  <w:marLeft w:val="0"/>
                  <w:marRight w:val="0"/>
                  <w:marTop w:val="0"/>
                  <w:marBottom w:val="0"/>
                  <w:divBdr>
                    <w:top w:val="none" w:sz="0" w:space="0" w:color="auto"/>
                    <w:left w:val="none" w:sz="0" w:space="0" w:color="auto"/>
                    <w:bottom w:val="none" w:sz="0" w:space="0" w:color="auto"/>
                    <w:right w:val="none" w:sz="0" w:space="0" w:color="auto"/>
                  </w:divBdr>
                  <w:divsChild>
                    <w:div w:id="1187141290">
                      <w:marLeft w:val="0"/>
                      <w:marRight w:val="0"/>
                      <w:marTop w:val="0"/>
                      <w:marBottom w:val="0"/>
                      <w:divBdr>
                        <w:top w:val="none" w:sz="0" w:space="0" w:color="auto"/>
                        <w:left w:val="none" w:sz="0" w:space="0" w:color="auto"/>
                        <w:bottom w:val="none" w:sz="0" w:space="0" w:color="auto"/>
                        <w:right w:val="none" w:sz="0" w:space="0" w:color="auto"/>
                      </w:divBdr>
                      <w:divsChild>
                        <w:div w:id="65733641">
                          <w:marLeft w:val="0"/>
                          <w:marRight w:val="0"/>
                          <w:marTop w:val="0"/>
                          <w:marBottom w:val="0"/>
                          <w:divBdr>
                            <w:top w:val="none" w:sz="0" w:space="0" w:color="auto"/>
                            <w:left w:val="none" w:sz="0" w:space="0" w:color="auto"/>
                            <w:bottom w:val="none" w:sz="0" w:space="0" w:color="auto"/>
                            <w:right w:val="none" w:sz="0" w:space="0" w:color="auto"/>
                          </w:divBdr>
                          <w:divsChild>
                            <w:div w:id="1085952162">
                              <w:marLeft w:val="0"/>
                              <w:marRight w:val="0"/>
                              <w:marTop w:val="0"/>
                              <w:marBottom w:val="0"/>
                              <w:divBdr>
                                <w:top w:val="none" w:sz="0" w:space="0" w:color="auto"/>
                                <w:left w:val="none" w:sz="0" w:space="0" w:color="auto"/>
                                <w:bottom w:val="none" w:sz="0" w:space="0" w:color="auto"/>
                                <w:right w:val="none" w:sz="0" w:space="0" w:color="auto"/>
                              </w:divBdr>
                              <w:divsChild>
                                <w:div w:id="1289774626">
                                  <w:marLeft w:val="-225"/>
                                  <w:marRight w:val="-225"/>
                                  <w:marTop w:val="0"/>
                                  <w:marBottom w:val="0"/>
                                  <w:divBdr>
                                    <w:top w:val="none" w:sz="0" w:space="0" w:color="auto"/>
                                    <w:left w:val="none" w:sz="0" w:space="0" w:color="auto"/>
                                    <w:bottom w:val="none" w:sz="0" w:space="0" w:color="auto"/>
                                    <w:right w:val="none" w:sz="0" w:space="0" w:color="auto"/>
                                  </w:divBdr>
                                  <w:divsChild>
                                    <w:div w:id="618685008">
                                      <w:marLeft w:val="0"/>
                                      <w:marRight w:val="0"/>
                                      <w:marTop w:val="0"/>
                                      <w:marBottom w:val="0"/>
                                      <w:divBdr>
                                        <w:top w:val="none" w:sz="0" w:space="0" w:color="auto"/>
                                        <w:left w:val="none" w:sz="0" w:space="0" w:color="auto"/>
                                        <w:bottom w:val="none" w:sz="0" w:space="0" w:color="auto"/>
                                        <w:right w:val="none" w:sz="0" w:space="0" w:color="auto"/>
                                      </w:divBdr>
                                      <w:divsChild>
                                        <w:div w:id="1794054587">
                                          <w:marLeft w:val="0"/>
                                          <w:marRight w:val="0"/>
                                          <w:marTop w:val="0"/>
                                          <w:marBottom w:val="0"/>
                                          <w:divBdr>
                                            <w:top w:val="none" w:sz="0" w:space="0" w:color="auto"/>
                                            <w:left w:val="none" w:sz="0" w:space="0" w:color="auto"/>
                                            <w:bottom w:val="none" w:sz="0" w:space="0" w:color="auto"/>
                                            <w:right w:val="none" w:sz="0" w:space="0" w:color="auto"/>
                                          </w:divBdr>
                                          <w:divsChild>
                                            <w:div w:id="1152329557">
                                              <w:marLeft w:val="0"/>
                                              <w:marRight w:val="0"/>
                                              <w:marTop w:val="0"/>
                                              <w:marBottom w:val="0"/>
                                              <w:divBdr>
                                                <w:top w:val="none" w:sz="0" w:space="0" w:color="auto"/>
                                                <w:left w:val="none" w:sz="0" w:space="0" w:color="auto"/>
                                                <w:bottom w:val="none" w:sz="0" w:space="0" w:color="auto"/>
                                                <w:right w:val="none" w:sz="0" w:space="0" w:color="auto"/>
                                              </w:divBdr>
                                              <w:divsChild>
                                                <w:div w:id="1300840788">
                                                  <w:marLeft w:val="0"/>
                                                  <w:marRight w:val="0"/>
                                                  <w:marTop w:val="0"/>
                                                  <w:marBottom w:val="0"/>
                                                  <w:divBdr>
                                                    <w:top w:val="none" w:sz="0" w:space="0" w:color="auto"/>
                                                    <w:left w:val="none" w:sz="0" w:space="0" w:color="auto"/>
                                                    <w:bottom w:val="none" w:sz="0" w:space="0" w:color="auto"/>
                                                    <w:right w:val="none" w:sz="0" w:space="0" w:color="auto"/>
                                                  </w:divBdr>
                                                  <w:divsChild>
                                                    <w:div w:id="881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619597">
      <w:bodyDiv w:val="1"/>
      <w:marLeft w:val="0"/>
      <w:marRight w:val="0"/>
      <w:marTop w:val="0"/>
      <w:marBottom w:val="0"/>
      <w:divBdr>
        <w:top w:val="none" w:sz="0" w:space="0" w:color="auto"/>
        <w:left w:val="none" w:sz="0" w:space="0" w:color="auto"/>
        <w:bottom w:val="none" w:sz="0" w:space="0" w:color="auto"/>
        <w:right w:val="none" w:sz="0" w:space="0" w:color="auto"/>
      </w:divBdr>
    </w:div>
    <w:div w:id="1253586310">
      <w:bodyDiv w:val="1"/>
      <w:marLeft w:val="0"/>
      <w:marRight w:val="0"/>
      <w:marTop w:val="0"/>
      <w:marBottom w:val="0"/>
      <w:divBdr>
        <w:top w:val="none" w:sz="0" w:space="0" w:color="auto"/>
        <w:left w:val="none" w:sz="0" w:space="0" w:color="auto"/>
        <w:bottom w:val="none" w:sz="0" w:space="0" w:color="auto"/>
        <w:right w:val="none" w:sz="0" w:space="0" w:color="auto"/>
      </w:divBdr>
    </w:div>
    <w:div w:id="18754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aspenpharm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Mathuthu</dc:creator>
  <cp:lastModifiedBy>Hannah Martin</cp:lastModifiedBy>
  <cp:revision>10</cp:revision>
  <dcterms:created xsi:type="dcterms:W3CDTF">2020-10-26T15:03:00Z</dcterms:created>
  <dcterms:modified xsi:type="dcterms:W3CDTF">2022-04-19T21:17:00Z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5206875</vt:lpwstr>
  </property>
  <property fmtid="{D5CDD505-2E9C-101B-9397-08002B2CF9AE}" pid="3" name="LdbDocVersion">
    <vt:lpwstr>1</vt:lpwstr>
  </property>
  <property fmtid="{D5CDD505-2E9C-101B-9397-08002B2CF9AE}" pid="4" name="LdbDocInfo">
    <vt:lpwstr>5206875v1</vt:lpwstr>
  </property>
</Properties>
</file>